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4FED9" w14:textId="77777777" w:rsidR="00236BFD" w:rsidRPr="00293214" w:rsidRDefault="00236BFD" w:rsidP="00293214">
      <w:pPr>
        <w:pStyle w:val="Default"/>
        <w:spacing w:line="276" w:lineRule="auto"/>
        <w:ind w:left="708" w:hanging="708"/>
        <w:jc w:val="both"/>
        <w:rPr>
          <w:b/>
          <w:color w:val="auto"/>
          <w:sz w:val="22"/>
          <w:szCs w:val="22"/>
        </w:rPr>
      </w:pPr>
    </w:p>
    <w:p w14:paraId="57896D2A" w14:textId="77777777" w:rsidR="00236BFD" w:rsidRPr="00BC0D64" w:rsidRDefault="00236BFD" w:rsidP="00293214">
      <w:pPr>
        <w:pStyle w:val="Default"/>
        <w:spacing w:line="276" w:lineRule="auto"/>
        <w:jc w:val="both"/>
        <w:rPr>
          <w:color w:val="auto"/>
          <w:sz w:val="22"/>
          <w:szCs w:val="22"/>
        </w:rPr>
      </w:pPr>
      <w:r w:rsidRPr="00BC0D64">
        <w:rPr>
          <w:b/>
          <w:color w:val="auto"/>
          <w:sz w:val="22"/>
          <w:szCs w:val="22"/>
        </w:rPr>
        <w:t>AYUNTAMIENTO DE TURICATO, MICHOACÁN</w:t>
      </w:r>
      <w:r w:rsidRPr="00BC0D64">
        <w:rPr>
          <w:color w:val="auto"/>
          <w:sz w:val="22"/>
          <w:szCs w:val="22"/>
        </w:rPr>
        <w:t>.</w:t>
      </w:r>
    </w:p>
    <w:p w14:paraId="4E2DD04E" w14:textId="77777777" w:rsidR="00236BFD" w:rsidRPr="00BC0D64" w:rsidRDefault="00236BFD" w:rsidP="00293214">
      <w:pPr>
        <w:pStyle w:val="Ttulo2"/>
        <w:jc w:val="both"/>
        <w:rPr>
          <w:rFonts w:cs="Arial"/>
          <w:szCs w:val="22"/>
        </w:rPr>
      </w:pPr>
    </w:p>
    <w:p w14:paraId="4E9D1754" w14:textId="77777777" w:rsidR="00236BFD" w:rsidRPr="00BC0D64" w:rsidRDefault="00236BFD" w:rsidP="00293214">
      <w:pPr>
        <w:pStyle w:val="Default"/>
        <w:spacing w:line="276" w:lineRule="auto"/>
        <w:jc w:val="both"/>
        <w:rPr>
          <w:b/>
          <w:color w:val="auto"/>
          <w:sz w:val="22"/>
          <w:szCs w:val="22"/>
        </w:rPr>
      </w:pPr>
      <w:r w:rsidRPr="00BC0D64">
        <w:rPr>
          <w:b/>
          <w:color w:val="auto"/>
          <w:sz w:val="22"/>
          <w:szCs w:val="22"/>
        </w:rPr>
        <w:t>AUDITORIA FINANCIERA</w:t>
      </w:r>
    </w:p>
    <w:p w14:paraId="7B94C6EE" w14:textId="77777777" w:rsidR="00236BFD" w:rsidRPr="00BC0D64" w:rsidRDefault="00236BFD" w:rsidP="00293214">
      <w:pPr>
        <w:rPr>
          <w:rFonts w:cs="Arial"/>
          <w:szCs w:val="22"/>
        </w:rPr>
      </w:pPr>
    </w:p>
    <w:p w14:paraId="15A09B5D" w14:textId="77777777" w:rsidR="00236BFD" w:rsidRPr="00BC0D64" w:rsidRDefault="00236BFD" w:rsidP="00293214">
      <w:pPr>
        <w:rPr>
          <w:rFonts w:eastAsiaTheme="minorHAnsi" w:cs="Arial"/>
          <w:szCs w:val="22"/>
          <w:lang w:eastAsia="en-US"/>
        </w:rPr>
      </w:pPr>
      <w:r w:rsidRPr="00BC0D64">
        <w:rPr>
          <w:rFonts w:eastAsiaTheme="minorHAnsi" w:cs="Arial"/>
          <w:szCs w:val="22"/>
          <w:lang w:eastAsia="en-US"/>
        </w:rPr>
        <w:t xml:space="preserve">En cumplimiento a lo estipulado por el artículo 65 </w:t>
      </w:r>
      <w:bookmarkStart w:id="0" w:name="_Hlk52964916"/>
      <w:r w:rsidRPr="00BC0D64">
        <w:rPr>
          <w:rFonts w:eastAsiaTheme="minorHAnsi" w:cs="Arial"/>
          <w:szCs w:val="22"/>
          <w:lang w:eastAsia="en-US"/>
        </w:rPr>
        <w:t>de la Ley de Fiscalización Superior y Rendición de Cuentas del Estado de Michoacán de Ocampo</w:t>
      </w:r>
      <w:bookmarkEnd w:id="0"/>
      <w:r w:rsidRPr="00BC0D64">
        <w:rPr>
          <w:rFonts w:eastAsiaTheme="minorHAnsi" w:cs="Arial"/>
          <w:szCs w:val="22"/>
          <w:lang w:eastAsia="en-US"/>
        </w:rPr>
        <w:t>, se emite el Informe Individual del Ayuntamiento de Turicato, Michoacán, que en lo subsecuente se le denominará la Entidad Fiscalizada, mismo que contiene los resultados derivados de la Revisión a la Cuenta Pública del ejercicio fiscal 2021, bajo el siguiente orden:</w:t>
      </w:r>
    </w:p>
    <w:p w14:paraId="2B1F176D" w14:textId="77777777" w:rsidR="00C73699" w:rsidRPr="00BC0D64" w:rsidRDefault="00C73699" w:rsidP="00293214">
      <w:pPr>
        <w:rPr>
          <w:rFonts w:cs="Arial"/>
          <w:szCs w:val="22"/>
        </w:rPr>
      </w:pPr>
    </w:p>
    <w:p w14:paraId="62D27814" w14:textId="77777777" w:rsidR="00C73699" w:rsidRPr="00BC0D64" w:rsidRDefault="00C73699" w:rsidP="00293214">
      <w:pPr>
        <w:pStyle w:val="Ttulo1"/>
        <w:shd w:val="clear" w:color="auto" w:fill="auto"/>
        <w:jc w:val="left"/>
        <w:rPr>
          <w:rFonts w:cs="Arial"/>
          <w:color w:val="auto"/>
        </w:rPr>
      </w:pPr>
      <w:r w:rsidRPr="00BC0D64">
        <w:rPr>
          <w:rFonts w:cs="Arial"/>
          <w:bCs/>
          <w:color w:val="auto"/>
        </w:rPr>
        <w:t>CRITERIOS</w:t>
      </w:r>
      <w:r w:rsidRPr="00BC0D64">
        <w:rPr>
          <w:rFonts w:cs="Arial"/>
          <w:color w:val="auto"/>
        </w:rPr>
        <w:t xml:space="preserve"> DE SELECCIÓN.</w:t>
      </w:r>
    </w:p>
    <w:p w14:paraId="3F557C0B" w14:textId="77777777" w:rsidR="00C73699" w:rsidRPr="00BC0D64" w:rsidRDefault="00C73699" w:rsidP="00293214">
      <w:pPr>
        <w:rPr>
          <w:rFonts w:cs="Arial"/>
          <w:lang w:val="es-MX"/>
        </w:rPr>
      </w:pPr>
    </w:p>
    <w:p w14:paraId="4D849799" w14:textId="00091881" w:rsidR="00C73699" w:rsidRPr="00BC0D64" w:rsidRDefault="00C73699" w:rsidP="00293214">
      <w:pPr>
        <w:rPr>
          <w:rFonts w:cs="Arial"/>
          <w:lang w:val="es-MX"/>
        </w:rPr>
      </w:pPr>
      <w:r w:rsidRPr="00BC0D64">
        <w:rPr>
          <w:rFonts w:cs="Arial"/>
          <w:lang w:val="es-MX"/>
        </w:rPr>
        <w:t xml:space="preserve">Con la finalidad de dar cumplimiento al Acuerdo Legislativo </w:t>
      </w:r>
      <w:r w:rsidR="00DE1353" w:rsidRPr="00BC0D64">
        <w:rPr>
          <w:rFonts w:cs="Arial"/>
          <w:lang w:val="es-MX"/>
        </w:rPr>
        <w:t xml:space="preserve">número 53 de fecha 29 de </w:t>
      </w:r>
      <w:r w:rsidRPr="00BC0D64">
        <w:rPr>
          <w:rFonts w:cs="Arial"/>
          <w:lang w:val="es-MX"/>
        </w:rPr>
        <w:t>diciembre de 2021, en el cual se aprueba el Plan Anual de Fiscalización de la Cuenta Pública de las Haciendas Municipales correspondiente al Ejercicio Fiscal 2021, presentado por la Auditoría Superior de Michoacán, en sus términos y con las instrucciones vertidas en el articulado de dicho Acuerdo.</w:t>
      </w:r>
    </w:p>
    <w:p w14:paraId="72B8AE1B" w14:textId="77777777" w:rsidR="00C73699" w:rsidRPr="00BC0D64" w:rsidRDefault="00C73699" w:rsidP="00293214">
      <w:pPr>
        <w:rPr>
          <w:rFonts w:cs="Arial"/>
        </w:rPr>
      </w:pPr>
    </w:p>
    <w:p w14:paraId="31FC46BC" w14:textId="77777777" w:rsidR="00C73699" w:rsidRPr="00BC0D64" w:rsidRDefault="00C73699" w:rsidP="00293214">
      <w:pPr>
        <w:pStyle w:val="Ttulo3"/>
        <w:rPr>
          <w:rFonts w:eastAsiaTheme="minorHAnsi" w:cs="Arial"/>
          <w:lang w:eastAsia="en-US"/>
        </w:rPr>
      </w:pPr>
      <w:r w:rsidRPr="00BC0D64">
        <w:rPr>
          <w:rFonts w:eastAsiaTheme="minorHAnsi" w:cs="Arial"/>
          <w:lang w:eastAsia="en-US"/>
        </w:rPr>
        <w:t>OBJETIVO.</w:t>
      </w:r>
    </w:p>
    <w:p w14:paraId="363256C4" w14:textId="77777777" w:rsidR="00C73699" w:rsidRPr="00BC0D64" w:rsidRDefault="00C73699" w:rsidP="00293214">
      <w:pPr>
        <w:rPr>
          <w:rFonts w:eastAsiaTheme="minorHAnsi" w:cs="Arial"/>
          <w:lang w:eastAsia="en-US"/>
        </w:rPr>
      </w:pPr>
    </w:p>
    <w:p w14:paraId="44376715" w14:textId="77777777" w:rsidR="00C73699" w:rsidRPr="00BC0D64" w:rsidRDefault="00C73699" w:rsidP="00293214">
      <w:pPr>
        <w:tabs>
          <w:tab w:val="left" w:pos="360"/>
        </w:tabs>
        <w:rPr>
          <w:rFonts w:eastAsia="Arial" w:cs="Arial"/>
          <w:spacing w:val="-1"/>
        </w:rPr>
      </w:pPr>
      <w:r w:rsidRPr="00BC0D64">
        <w:rPr>
          <w:rFonts w:eastAsia="Arial" w:cs="Arial"/>
          <w:spacing w:val="-1"/>
        </w:rPr>
        <w:t>Proporcionar, a través de la recopilación de evidencia de auditoría suficiente y apropiada, garantías razonables mediante una opinión o un informe de auditoría, de que los estados financieros u otras formas de información financiera se presentan fielmente en todos los aspectos significativos de conformidad con el marco de información financiera y regulatorio aplicable.</w:t>
      </w:r>
    </w:p>
    <w:p w14:paraId="1C7A6E38" w14:textId="77777777" w:rsidR="00C73699" w:rsidRPr="00BC0D64" w:rsidRDefault="00C73699" w:rsidP="00293214">
      <w:pPr>
        <w:tabs>
          <w:tab w:val="left" w:pos="360"/>
        </w:tabs>
        <w:rPr>
          <w:rFonts w:eastAsia="Arial" w:cs="Arial"/>
          <w:spacing w:val="-1"/>
        </w:rPr>
      </w:pPr>
    </w:p>
    <w:p w14:paraId="1FE308CD" w14:textId="77777777" w:rsidR="00C73699" w:rsidRPr="00BC0D64" w:rsidRDefault="00C73699" w:rsidP="00293214">
      <w:pPr>
        <w:pStyle w:val="Ttulo3"/>
        <w:rPr>
          <w:rFonts w:eastAsiaTheme="minorHAnsi" w:cs="Arial"/>
          <w:lang w:eastAsia="en-US"/>
        </w:rPr>
      </w:pPr>
      <w:r w:rsidRPr="00BC0D64">
        <w:rPr>
          <w:rFonts w:eastAsiaTheme="minorHAnsi" w:cs="Arial"/>
          <w:lang w:eastAsia="en-US"/>
        </w:rPr>
        <w:t>ALCANCE.</w:t>
      </w:r>
    </w:p>
    <w:p w14:paraId="63D56BA0" w14:textId="77777777" w:rsidR="00C73699" w:rsidRPr="00BC0D64" w:rsidRDefault="00C73699" w:rsidP="00293214">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236BFD" w:rsidRPr="00BC0D64" w14:paraId="56669A1E" w14:textId="77777777" w:rsidTr="007015FD">
        <w:tc>
          <w:tcPr>
            <w:tcW w:w="4820" w:type="dxa"/>
          </w:tcPr>
          <w:p w14:paraId="01CD26C5" w14:textId="40ECBA5E" w:rsidR="00236BFD" w:rsidRPr="00BC0D64" w:rsidRDefault="00236BFD" w:rsidP="00293214">
            <w:pPr>
              <w:rPr>
                <w:rFonts w:cs="Arial"/>
                <w:lang w:val="es-MX" w:eastAsia="es-MX"/>
              </w:rPr>
            </w:pPr>
            <w:r w:rsidRPr="00BC0D64">
              <w:rPr>
                <w:rFonts w:cs="Arial"/>
                <w:lang w:val="es-MX" w:eastAsia="es-MX"/>
              </w:rPr>
              <w:t>Universo</w:t>
            </w:r>
          </w:p>
        </w:tc>
        <w:tc>
          <w:tcPr>
            <w:tcW w:w="567" w:type="dxa"/>
          </w:tcPr>
          <w:p w14:paraId="3655052B" w14:textId="77777777" w:rsidR="00236BFD" w:rsidRPr="00BC0D64" w:rsidRDefault="00236BFD" w:rsidP="00293214">
            <w:pPr>
              <w:rPr>
                <w:rFonts w:cs="Arial"/>
                <w:b/>
                <w:lang w:val="es-MX" w:eastAsia="es-MX"/>
              </w:rPr>
            </w:pPr>
          </w:p>
        </w:tc>
        <w:tc>
          <w:tcPr>
            <w:tcW w:w="1560" w:type="dxa"/>
          </w:tcPr>
          <w:p w14:paraId="76B425E7" w14:textId="77777777" w:rsidR="00236BFD" w:rsidRPr="00BC0D64" w:rsidRDefault="00236BFD" w:rsidP="00293214">
            <w:pPr>
              <w:jc w:val="right"/>
              <w:rPr>
                <w:rFonts w:cs="Arial"/>
                <w:b/>
                <w:lang w:val="es-MX" w:eastAsia="es-MX"/>
              </w:rPr>
            </w:pPr>
            <w:r w:rsidRPr="00BC0D64">
              <w:rPr>
                <w:rFonts w:cs="Arial"/>
                <w:lang w:val="es-MX" w:eastAsia="es-MX"/>
              </w:rPr>
              <w:t>5,115,732</w:t>
            </w:r>
          </w:p>
        </w:tc>
        <w:tc>
          <w:tcPr>
            <w:tcW w:w="1560" w:type="dxa"/>
          </w:tcPr>
          <w:p w14:paraId="781EF33E" w14:textId="77777777" w:rsidR="00236BFD" w:rsidRPr="00BC0D64" w:rsidRDefault="00236BFD" w:rsidP="00293214">
            <w:pPr>
              <w:rPr>
                <w:rFonts w:cs="Arial"/>
                <w:lang w:val="es-MX" w:eastAsia="es-MX"/>
              </w:rPr>
            </w:pPr>
            <w:r w:rsidRPr="00BC0D64">
              <w:rPr>
                <w:rFonts w:cs="Arial"/>
                <w:lang w:val="es-MX" w:eastAsia="es-MX"/>
              </w:rPr>
              <w:t>Pesos</w:t>
            </w:r>
          </w:p>
        </w:tc>
      </w:tr>
      <w:tr w:rsidR="00236BFD" w:rsidRPr="00BC0D64" w14:paraId="78583879" w14:textId="77777777" w:rsidTr="007015FD">
        <w:tc>
          <w:tcPr>
            <w:tcW w:w="4820" w:type="dxa"/>
          </w:tcPr>
          <w:p w14:paraId="39334FD5" w14:textId="77777777" w:rsidR="00236BFD" w:rsidRPr="00BC0D64" w:rsidRDefault="00236BFD" w:rsidP="00293214">
            <w:pPr>
              <w:rPr>
                <w:rFonts w:cs="Arial"/>
                <w:szCs w:val="22"/>
                <w:lang w:eastAsia="es-MX"/>
              </w:rPr>
            </w:pPr>
            <w:r w:rsidRPr="00BC0D64">
              <w:rPr>
                <w:rFonts w:cs="Arial"/>
                <w:szCs w:val="22"/>
                <w:lang w:eastAsia="es-MX"/>
              </w:rPr>
              <w:t xml:space="preserve">Recurso Fiscales e Ingresos Propios </w:t>
            </w:r>
          </w:p>
          <w:p w14:paraId="008A7D8B" w14:textId="77777777" w:rsidR="00236BFD" w:rsidRPr="00BC0D64" w:rsidRDefault="00236BFD" w:rsidP="00293214">
            <w:pPr>
              <w:rPr>
                <w:rFonts w:cs="Arial"/>
                <w:szCs w:val="22"/>
                <w:lang w:eastAsia="es-MX"/>
              </w:rPr>
            </w:pPr>
            <w:r w:rsidRPr="00BC0D64">
              <w:rPr>
                <w:rFonts w:cs="Arial"/>
                <w:szCs w:val="22"/>
                <w:lang w:eastAsia="es-MX"/>
              </w:rPr>
              <w:t xml:space="preserve">    (Ingresos de Gestión)</w:t>
            </w:r>
          </w:p>
        </w:tc>
        <w:tc>
          <w:tcPr>
            <w:tcW w:w="567" w:type="dxa"/>
          </w:tcPr>
          <w:p w14:paraId="5BFEE4D5" w14:textId="77777777" w:rsidR="00236BFD" w:rsidRPr="00BC0D64" w:rsidRDefault="00236BFD" w:rsidP="00293214">
            <w:pPr>
              <w:rPr>
                <w:rFonts w:cs="Arial"/>
                <w:b/>
                <w:lang w:val="es-MX" w:eastAsia="es-MX"/>
              </w:rPr>
            </w:pPr>
          </w:p>
        </w:tc>
        <w:tc>
          <w:tcPr>
            <w:tcW w:w="1560" w:type="dxa"/>
          </w:tcPr>
          <w:p w14:paraId="5C9DA714" w14:textId="77777777" w:rsidR="00236BFD" w:rsidRPr="00BC0D64" w:rsidRDefault="00236BFD" w:rsidP="00293214">
            <w:pPr>
              <w:jc w:val="right"/>
              <w:rPr>
                <w:rFonts w:cs="Arial"/>
                <w:lang w:val="es-MX" w:eastAsia="es-MX"/>
              </w:rPr>
            </w:pPr>
            <w:r w:rsidRPr="00BC0D64">
              <w:rPr>
                <w:rFonts w:cs="Arial"/>
                <w:lang w:val="es-MX" w:eastAsia="es-MX"/>
              </w:rPr>
              <w:t>5,115,732</w:t>
            </w:r>
          </w:p>
        </w:tc>
        <w:tc>
          <w:tcPr>
            <w:tcW w:w="1560" w:type="dxa"/>
          </w:tcPr>
          <w:p w14:paraId="271F9E8E" w14:textId="77777777" w:rsidR="00236BFD" w:rsidRPr="00BC0D64" w:rsidRDefault="00236BFD" w:rsidP="00293214">
            <w:pPr>
              <w:rPr>
                <w:rFonts w:cs="Arial"/>
                <w:lang w:val="es-MX" w:eastAsia="es-MX"/>
              </w:rPr>
            </w:pPr>
            <w:r w:rsidRPr="00BC0D64">
              <w:rPr>
                <w:rFonts w:cs="Arial"/>
                <w:lang w:val="es-MX" w:eastAsia="es-MX"/>
              </w:rPr>
              <w:t>Pesos</w:t>
            </w:r>
          </w:p>
          <w:p w14:paraId="031283D5" w14:textId="77777777" w:rsidR="00236BFD" w:rsidRPr="00BC0D64" w:rsidRDefault="00236BFD" w:rsidP="00293214">
            <w:pPr>
              <w:rPr>
                <w:rFonts w:cs="Arial"/>
                <w:lang w:val="es-MX" w:eastAsia="es-MX"/>
              </w:rPr>
            </w:pPr>
          </w:p>
        </w:tc>
      </w:tr>
    </w:tbl>
    <w:p w14:paraId="6B7B7FB4" w14:textId="77777777" w:rsidR="00236BFD" w:rsidRPr="00BC0D64" w:rsidRDefault="00236BFD" w:rsidP="00293214">
      <w:pPr>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236BFD" w:rsidRPr="00BC0D64" w14:paraId="4F44806A" w14:textId="77777777" w:rsidTr="007015FD">
        <w:tc>
          <w:tcPr>
            <w:tcW w:w="4820" w:type="dxa"/>
          </w:tcPr>
          <w:p w14:paraId="7BDF15FF" w14:textId="77777777" w:rsidR="00236BFD" w:rsidRPr="00BC0D64" w:rsidRDefault="00236BFD" w:rsidP="00293214">
            <w:pPr>
              <w:rPr>
                <w:rFonts w:cs="Arial"/>
                <w:b/>
                <w:lang w:val="es-MX" w:eastAsia="es-MX"/>
              </w:rPr>
            </w:pPr>
            <w:r w:rsidRPr="00BC0D64">
              <w:rPr>
                <w:rFonts w:cs="Arial"/>
                <w:lang w:val="es-MX" w:eastAsia="es-MX"/>
              </w:rPr>
              <w:t>Universo a Fiscalizar</w:t>
            </w:r>
          </w:p>
        </w:tc>
        <w:tc>
          <w:tcPr>
            <w:tcW w:w="567" w:type="dxa"/>
          </w:tcPr>
          <w:p w14:paraId="385BD059" w14:textId="77777777" w:rsidR="00236BFD" w:rsidRPr="00BC0D64" w:rsidRDefault="00236BFD" w:rsidP="00293214">
            <w:pPr>
              <w:rPr>
                <w:rFonts w:cs="Arial"/>
                <w:b/>
                <w:lang w:val="es-MX" w:eastAsia="es-MX"/>
              </w:rPr>
            </w:pPr>
          </w:p>
        </w:tc>
        <w:tc>
          <w:tcPr>
            <w:tcW w:w="1560" w:type="dxa"/>
          </w:tcPr>
          <w:p w14:paraId="3554B1C9" w14:textId="77777777" w:rsidR="00236BFD" w:rsidRPr="00BC0D64" w:rsidRDefault="00236BFD" w:rsidP="00293214">
            <w:pPr>
              <w:jc w:val="right"/>
              <w:rPr>
                <w:rFonts w:cs="Arial"/>
                <w:b/>
                <w:lang w:val="es-MX" w:eastAsia="es-MX"/>
              </w:rPr>
            </w:pPr>
            <w:r w:rsidRPr="00BC0D64">
              <w:rPr>
                <w:rFonts w:cs="Arial"/>
                <w:lang w:val="es-MX" w:eastAsia="es-MX"/>
              </w:rPr>
              <w:t>5,115,732</w:t>
            </w:r>
          </w:p>
        </w:tc>
        <w:tc>
          <w:tcPr>
            <w:tcW w:w="1560" w:type="dxa"/>
          </w:tcPr>
          <w:p w14:paraId="0D35427D" w14:textId="77777777" w:rsidR="00236BFD" w:rsidRPr="00BC0D64" w:rsidRDefault="00236BFD" w:rsidP="00293214">
            <w:pPr>
              <w:rPr>
                <w:rFonts w:cs="Arial"/>
                <w:lang w:val="es-MX" w:eastAsia="es-MX"/>
              </w:rPr>
            </w:pPr>
            <w:r w:rsidRPr="00BC0D64">
              <w:rPr>
                <w:rFonts w:cs="Arial"/>
                <w:lang w:val="es-MX" w:eastAsia="es-MX"/>
              </w:rPr>
              <w:t>Pesos</w:t>
            </w:r>
          </w:p>
        </w:tc>
      </w:tr>
      <w:tr w:rsidR="00236BFD" w:rsidRPr="00BC0D64" w14:paraId="376FD3DB" w14:textId="77777777" w:rsidTr="007015FD">
        <w:tc>
          <w:tcPr>
            <w:tcW w:w="4820" w:type="dxa"/>
          </w:tcPr>
          <w:p w14:paraId="11FF3588" w14:textId="77777777" w:rsidR="00236BFD" w:rsidRPr="00BC0D64" w:rsidRDefault="00236BFD" w:rsidP="00293214">
            <w:pPr>
              <w:rPr>
                <w:rFonts w:cs="Arial"/>
                <w:b/>
                <w:lang w:val="es-MX" w:eastAsia="es-MX"/>
              </w:rPr>
            </w:pPr>
            <w:r w:rsidRPr="00BC0D64">
              <w:rPr>
                <w:rFonts w:cs="Arial"/>
                <w:lang w:val="es-MX" w:eastAsia="es-MX"/>
              </w:rPr>
              <w:t>Muestra Auditada</w:t>
            </w:r>
          </w:p>
        </w:tc>
        <w:tc>
          <w:tcPr>
            <w:tcW w:w="567" w:type="dxa"/>
          </w:tcPr>
          <w:p w14:paraId="06B55FC7" w14:textId="77777777" w:rsidR="00236BFD" w:rsidRPr="00BC0D64" w:rsidRDefault="00236BFD" w:rsidP="00293214">
            <w:pPr>
              <w:rPr>
                <w:rFonts w:cs="Arial"/>
                <w:b/>
                <w:lang w:val="es-MX" w:eastAsia="es-MX"/>
              </w:rPr>
            </w:pPr>
          </w:p>
        </w:tc>
        <w:tc>
          <w:tcPr>
            <w:tcW w:w="1560" w:type="dxa"/>
          </w:tcPr>
          <w:p w14:paraId="7727FFB3" w14:textId="77777777" w:rsidR="00236BFD" w:rsidRPr="00BC0D64" w:rsidRDefault="00236BFD" w:rsidP="00293214">
            <w:pPr>
              <w:jc w:val="right"/>
              <w:rPr>
                <w:rFonts w:cs="Arial"/>
                <w:lang w:val="es-MX" w:eastAsia="es-MX"/>
              </w:rPr>
            </w:pPr>
            <w:r w:rsidRPr="00BC0D64">
              <w:rPr>
                <w:rFonts w:cs="Arial"/>
                <w:lang w:val="es-MX" w:eastAsia="es-MX"/>
              </w:rPr>
              <w:t>3,313,937</w:t>
            </w:r>
          </w:p>
        </w:tc>
        <w:tc>
          <w:tcPr>
            <w:tcW w:w="1560" w:type="dxa"/>
          </w:tcPr>
          <w:p w14:paraId="54896EE3" w14:textId="77777777" w:rsidR="00236BFD" w:rsidRPr="00BC0D64" w:rsidRDefault="00236BFD" w:rsidP="00293214">
            <w:pPr>
              <w:rPr>
                <w:rFonts w:cs="Arial"/>
                <w:b/>
                <w:lang w:val="es-MX" w:eastAsia="es-MX"/>
              </w:rPr>
            </w:pPr>
            <w:r w:rsidRPr="00BC0D64">
              <w:rPr>
                <w:rFonts w:cs="Arial"/>
                <w:lang w:val="es-MX" w:eastAsia="es-MX"/>
              </w:rPr>
              <w:t>Pesos</w:t>
            </w:r>
          </w:p>
        </w:tc>
      </w:tr>
      <w:tr w:rsidR="00236BFD" w:rsidRPr="00BC0D64" w14:paraId="386B37C7" w14:textId="77777777" w:rsidTr="007015FD">
        <w:tc>
          <w:tcPr>
            <w:tcW w:w="4820" w:type="dxa"/>
          </w:tcPr>
          <w:p w14:paraId="581F46C8" w14:textId="77777777" w:rsidR="00236BFD" w:rsidRPr="00BC0D64" w:rsidRDefault="00236BFD" w:rsidP="00293214">
            <w:pPr>
              <w:ind w:left="459" w:hanging="459"/>
              <w:rPr>
                <w:rFonts w:cs="Arial"/>
                <w:lang w:val="es-MX" w:eastAsia="es-MX"/>
              </w:rPr>
            </w:pPr>
            <w:r w:rsidRPr="00BC0D64">
              <w:rPr>
                <w:rFonts w:cs="Arial"/>
                <w:lang w:val="es-MX" w:eastAsia="es-MX"/>
              </w:rPr>
              <w:t>Representatividad de la muestra</w:t>
            </w:r>
          </w:p>
        </w:tc>
        <w:tc>
          <w:tcPr>
            <w:tcW w:w="567" w:type="dxa"/>
          </w:tcPr>
          <w:p w14:paraId="42EB58C6" w14:textId="77777777" w:rsidR="00236BFD" w:rsidRPr="00BC0D64" w:rsidRDefault="00236BFD" w:rsidP="00293214">
            <w:pPr>
              <w:rPr>
                <w:rFonts w:cs="Arial"/>
                <w:b/>
                <w:lang w:val="es-MX" w:eastAsia="es-MX"/>
              </w:rPr>
            </w:pPr>
          </w:p>
        </w:tc>
        <w:tc>
          <w:tcPr>
            <w:tcW w:w="1560" w:type="dxa"/>
          </w:tcPr>
          <w:p w14:paraId="59B96FE8" w14:textId="77777777" w:rsidR="00236BFD" w:rsidRPr="00BC0D64" w:rsidRDefault="00236BFD" w:rsidP="00293214">
            <w:pPr>
              <w:jc w:val="right"/>
              <w:rPr>
                <w:rFonts w:cs="Arial"/>
                <w:lang w:val="es-MX" w:eastAsia="es-MX"/>
              </w:rPr>
            </w:pPr>
            <w:r w:rsidRPr="00BC0D64">
              <w:rPr>
                <w:rFonts w:cs="Arial"/>
                <w:lang w:val="es-MX" w:eastAsia="es-MX"/>
              </w:rPr>
              <w:t>65</w:t>
            </w:r>
          </w:p>
        </w:tc>
        <w:tc>
          <w:tcPr>
            <w:tcW w:w="1560" w:type="dxa"/>
          </w:tcPr>
          <w:p w14:paraId="3A06F82A" w14:textId="77777777" w:rsidR="00236BFD" w:rsidRPr="00BC0D64" w:rsidRDefault="00236BFD" w:rsidP="00293214">
            <w:pPr>
              <w:rPr>
                <w:rFonts w:cs="Arial"/>
                <w:b/>
                <w:lang w:val="es-MX" w:eastAsia="es-MX"/>
              </w:rPr>
            </w:pPr>
            <w:r w:rsidRPr="00BC0D64">
              <w:rPr>
                <w:rFonts w:cs="Arial"/>
                <w:lang w:val="es-MX" w:eastAsia="es-MX"/>
              </w:rPr>
              <w:t>Por ciento</w:t>
            </w:r>
          </w:p>
        </w:tc>
      </w:tr>
    </w:tbl>
    <w:p w14:paraId="2A9D4DDD" w14:textId="77777777" w:rsidR="00236BFD" w:rsidRPr="00BC0D64" w:rsidRDefault="00236BFD" w:rsidP="00293214">
      <w:pPr>
        <w:tabs>
          <w:tab w:val="left" w:pos="360"/>
        </w:tabs>
        <w:rPr>
          <w:rFonts w:cs="Arial"/>
        </w:rPr>
      </w:pPr>
    </w:p>
    <w:p w14:paraId="66175240" w14:textId="77777777" w:rsidR="00B81C7A" w:rsidRPr="00F1747C" w:rsidRDefault="00B81C7A" w:rsidP="00B81C7A">
      <w:pPr>
        <w:rPr>
          <w:rFonts w:cs="Arial"/>
          <w:szCs w:val="22"/>
        </w:rPr>
      </w:pPr>
      <w:r w:rsidRPr="00F1747C">
        <w:rPr>
          <w:rFonts w:cs="Arial"/>
          <w:szCs w:val="22"/>
        </w:rPr>
        <w:lastRenderedPageBreak/>
        <w:t xml:space="preserve">De los ingresos obtenidos, se conoció que la Entidad Fiscalizada durante el ejercicio sujeto a revisión, ejerció la cantidad de </w:t>
      </w:r>
      <w:r>
        <w:rPr>
          <w:rFonts w:cs="Arial"/>
          <w:szCs w:val="22"/>
        </w:rPr>
        <w:t>4</w:t>
      </w:r>
      <w:r w:rsidRPr="00F1747C">
        <w:rPr>
          <w:rFonts w:cs="Arial"/>
          <w:szCs w:val="22"/>
        </w:rPr>
        <w:t xml:space="preserve"> millones </w:t>
      </w:r>
      <w:r>
        <w:rPr>
          <w:rFonts w:cs="Arial"/>
          <w:szCs w:val="22"/>
        </w:rPr>
        <w:t>209</w:t>
      </w:r>
      <w:r w:rsidRPr="00F1747C">
        <w:rPr>
          <w:rFonts w:cs="Arial"/>
          <w:szCs w:val="22"/>
        </w:rPr>
        <w:t xml:space="preserve"> mil </w:t>
      </w:r>
      <w:r>
        <w:rPr>
          <w:rFonts w:cs="Arial"/>
          <w:szCs w:val="22"/>
        </w:rPr>
        <w:t>942</w:t>
      </w:r>
      <w:r w:rsidRPr="00F1747C">
        <w:rPr>
          <w:rFonts w:cs="Arial"/>
          <w:szCs w:val="22"/>
        </w:rPr>
        <w:t xml:space="preserve"> pesos, de los cuales la muestra auditada fue de un </w:t>
      </w:r>
      <w:r>
        <w:rPr>
          <w:rFonts w:cs="Arial"/>
          <w:szCs w:val="22"/>
        </w:rPr>
        <w:t>100</w:t>
      </w:r>
      <w:r w:rsidRPr="00F1747C">
        <w:rPr>
          <w:rFonts w:cs="Arial"/>
          <w:szCs w:val="22"/>
        </w:rPr>
        <w:t xml:space="preserve"> por ciento.</w:t>
      </w:r>
      <w:r w:rsidRPr="0059432F">
        <w:t xml:space="preserve"> </w:t>
      </w:r>
    </w:p>
    <w:p w14:paraId="25A60C4E" w14:textId="77777777" w:rsidR="00C73699" w:rsidRPr="00BC0D64" w:rsidRDefault="00C73699" w:rsidP="00293214">
      <w:pPr>
        <w:rPr>
          <w:rFonts w:cs="Arial"/>
          <w:szCs w:val="22"/>
        </w:rPr>
      </w:pPr>
    </w:p>
    <w:p w14:paraId="6E32C98D" w14:textId="77777777" w:rsidR="00C73699" w:rsidRPr="00BC0D64" w:rsidRDefault="00C73699" w:rsidP="00293214">
      <w:pPr>
        <w:rPr>
          <w:rFonts w:cs="Arial"/>
          <w:b/>
          <w:szCs w:val="22"/>
        </w:rPr>
      </w:pPr>
      <w:r w:rsidRPr="00BC0D64">
        <w:rPr>
          <w:rFonts w:cs="Arial"/>
          <w:b/>
          <w:szCs w:val="22"/>
        </w:rPr>
        <w:t>PROCEDIMIENTOS DE AUDITORÍA APLICADOS</w:t>
      </w:r>
    </w:p>
    <w:p w14:paraId="2D6B0F6C" w14:textId="77777777" w:rsidR="00C73699" w:rsidRPr="00BC0D64" w:rsidRDefault="00C73699" w:rsidP="00293214">
      <w:pPr>
        <w:rPr>
          <w:rFonts w:cs="Arial"/>
          <w:szCs w:val="22"/>
        </w:rPr>
      </w:pPr>
    </w:p>
    <w:p w14:paraId="7F3B7CF8" w14:textId="77777777" w:rsidR="00C73699" w:rsidRPr="00BC0D64" w:rsidRDefault="00C73699" w:rsidP="00293214">
      <w:pPr>
        <w:rPr>
          <w:rFonts w:cs="Arial"/>
          <w:szCs w:val="22"/>
        </w:rPr>
      </w:pPr>
      <w:r w:rsidRPr="00BC0D64">
        <w:rPr>
          <w:rFonts w:cs="Arial"/>
          <w:szCs w:val="22"/>
        </w:rPr>
        <w:t>Los procedimientos de auditoría aplicados durante la fiscalización, cuyo alcance fue del 100 por ciento, son los siguientes:</w:t>
      </w:r>
    </w:p>
    <w:p w14:paraId="28363506" w14:textId="77777777" w:rsidR="00C73699" w:rsidRPr="00BC0D64" w:rsidRDefault="00C73699" w:rsidP="00293214">
      <w:pPr>
        <w:rPr>
          <w:rFonts w:cs="Arial"/>
          <w:szCs w:val="22"/>
        </w:rPr>
      </w:pPr>
    </w:p>
    <w:p w14:paraId="7D82325B" w14:textId="77777777" w:rsidR="00F1319C" w:rsidRPr="00BC0D64" w:rsidRDefault="00F1319C" w:rsidP="00F1319C">
      <w:pPr>
        <w:rPr>
          <w:rFonts w:cs="Arial"/>
          <w:bCs/>
          <w:szCs w:val="22"/>
        </w:rPr>
      </w:pPr>
      <w:bookmarkStart w:id="1" w:name="_Hlk120788538"/>
      <w:r w:rsidRPr="00BC0D64">
        <w:rPr>
          <w:rFonts w:cs="Arial"/>
          <w:b/>
          <w:bCs/>
          <w:szCs w:val="22"/>
        </w:rPr>
        <w:t>1.</w:t>
      </w:r>
      <w:r w:rsidRPr="00BC0D64">
        <w:rPr>
          <w:rFonts w:cs="Arial"/>
          <w:bCs/>
          <w:szCs w:val="22"/>
        </w:rPr>
        <w:t xml:space="preserve"> Revisión y análisis a las cifras que muestran los Estados Financieros al 31 de diciembre de 2021.</w:t>
      </w:r>
    </w:p>
    <w:p w14:paraId="06D2BF54" w14:textId="77777777" w:rsidR="00F1319C" w:rsidRPr="00BC0D64" w:rsidRDefault="00F1319C" w:rsidP="00F1319C">
      <w:pPr>
        <w:rPr>
          <w:rFonts w:cs="Arial"/>
          <w:bCs/>
          <w:szCs w:val="22"/>
        </w:rPr>
      </w:pPr>
    </w:p>
    <w:p w14:paraId="5E02AD24" w14:textId="77777777" w:rsidR="00F1319C" w:rsidRPr="00BC0D64" w:rsidRDefault="00F1319C" w:rsidP="00F1319C">
      <w:pPr>
        <w:rPr>
          <w:rFonts w:cs="Arial"/>
          <w:bCs/>
          <w:szCs w:val="22"/>
        </w:rPr>
      </w:pPr>
      <w:r w:rsidRPr="00BC0D64">
        <w:rPr>
          <w:rFonts w:cs="Arial"/>
          <w:b/>
          <w:bCs/>
          <w:szCs w:val="22"/>
        </w:rPr>
        <w:t>1.1.</w:t>
      </w:r>
      <w:r w:rsidRPr="00BC0D64">
        <w:rPr>
          <w:rFonts w:cs="Arial"/>
          <w:bCs/>
          <w:szCs w:val="22"/>
        </w:rPr>
        <w:t xml:space="preserve"> Confirmar que el inventario físico de la Entidad Fiscalizada se encuentre debidamente conciliado con los registros contables.</w:t>
      </w:r>
    </w:p>
    <w:p w14:paraId="27B91DB0" w14:textId="77777777" w:rsidR="00F1319C" w:rsidRPr="00BC0D64" w:rsidRDefault="00F1319C" w:rsidP="00F1319C">
      <w:pPr>
        <w:pStyle w:val="Prrafodelista"/>
        <w:ind w:left="360"/>
        <w:rPr>
          <w:rFonts w:ascii="Arial" w:hAnsi="Arial" w:cs="Arial"/>
          <w:bCs/>
          <w:szCs w:val="22"/>
        </w:rPr>
      </w:pPr>
    </w:p>
    <w:p w14:paraId="03B4BA17" w14:textId="1B943F58" w:rsidR="00F1319C" w:rsidRPr="00BC0D64" w:rsidRDefault="00F1319C" w:rsidP="00F1319C">
      <w:pPr>
        <w:rPr>
          <w:rFonts w:cs="Arial"/>
          <w:bCs/>
          <w:szCs w:val="22"/>
        </w:rPr>
      </w:pPr>
      <w:r w:rsidRPr="00BC0D64">
        <w:rPr>
          <w:rFonts w:cs="Arial"/>
          <w:b/>
          <w:bCs/>
          <w:szCs w:val="22"/>
        </w:rPr>
        <w:t>1.2.</w:t>
      </w:r>
      <w:r w:rsidRPr="00BC0D64">
        <w:rPr>
          <w:rFonts w:cs="Arial"/>
          <w:bCs/>
          <w:szCs w:val="22"/>
        </w:rPr>
        <w:t xml:space="preserve"> Constatar que se efectuó el registro de las Depreciaciones y Amortizaciones de los bienes muebles e inmuebles, correspondientes al ejercicio</w:t>
      </w:r>
      <w:r w:rsidR="004C062B">
        <w:rPr>
          <w:rFonts w:cs="Arial"/>
          <w:bCs/>
          <w:szCs w:val="22"/>
        </w:rPr>
        <w:t xml:space="preserve"> fiscal</w:t>
      </w:r>
      <w:r w:rsidRPr="00BC0D64">
        <w:rPr>
          <w:rFonts w:cs="Arial"/>
          <w:bCs/>
          <w:szCs w:val="22"/>
        </w:rPr>
        <w:t xml:space="preserve"> sujeto a revisión.</w:t>
      </w:r>
    </w:p>
    <w:p w14:paraId="4753ACF7" w14:textId="77777777" w:rsidR="00F1319C" w:rsidRPr="00BC0D64" w:rsidRDefault="00F1319C" w:rsidP="00F1319C">
      <w:pPr>
        <w:rPr>
          <w:rFonts w:cs="Arial"/>
          <w:bCs/>
          <w:szCs w:val="22"/>
        </w:rPr>
      </w:pPr>
    </w:p>
    <w:p w14:paraId="701F6ACD" w14:textId="77777777" w:rsidR="00F1319C" w:rsidRPr="00BC0D64" w:rsidRDefault="00F1319C" w:rsidP="00F1319C">
      <w:pPr>
        <w:rPr>
          <w:rFonts w:cs="Arial"/>
          <w:bCs/>
          <w:szCs w:val="22"/>
        </w:rPr>
      </w:pPr>
      <w:r w:rsidRPr="00BC0D64">
        <w:rPr>
          <w:rFonts w:cs="Arial"/>
          <w:b/>
          <w:bCs/>
          <w:szCs w:val="22"/>
        </w:rPr>
        <w:t xml:space="preserve">1.3. </w:t>
      </w:r>
      <w:r w:rsidRPr="00BC0D64">
        <w:rPr>
          <w:rFonts w:cs="Arial"/>
          <w:bCs/>
          <w:szCs w:val="22"/>
        </w:rPr>
        <w:t>Verificar que la Entidad haya cumplido con el principio de sostenibilidad presupuestal.</w:t>
      </w:r>
    </w:p>
    <w:p w14:paraId="005129F8" w14:textId="77777777" w:rsidR="00F1319C" w:rsidRPr="00BC0D64" w:rsidRDefault="00F1319C" w:rsidP="00F1319C">
      <w:pPr>
        <w:pStyle w:val="Prrafodelista"/>
        <w:rPr>
          <w:rFonts w:ascii="Arial" w:hAnsi="Arial" w:cs="Arial"/>
          <w:bCs/>
          <w:szCs w:val="22"/>
        </w:rPr>
      </w:pPr>
    </w:p>
    <w:p w14:paraId="44C3CD5C" w14:textId="77777777" w:rsidR="00F1319C" w:rsidRPr="00BC0D64" w:rsidRDefault="00F1319C" w:rsidP="00F1319C">
      <w:pPr>
        <w:rPr>
          <w:rFonts w:cs="Arial"/>
          <w:bCs/>
          <w:szCs w:val="22"/>
        </w:rPr>
      </w:pPr>
      <w:r w:rsidRPr="00BC0D64">
        <w:rPr>
          <w:rFonts w:cs="Arial"/>
          <w:b/>
          <w:bCs/>
          <w:szCs w:val="22"/>
        </w:rPr>
        <w:t>1.4.</w:t>
      </w:r>
      <w:r w:rsidRPr="00BC0D64">
        <w:rPr>
          <w:rFonts w:cs="Arial"/>
          <w:bCs/>
          <w:szCs w:val="22"/>
        </w:rPr>
        <w:t xml:space="preserve"> Identificar 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con la finalidad de verificar la recuperación de los mismos y que se hayan ejercido los recursos para costear las actividades, las obras y los servicios públicos previstos por la Entidad Fiscalizada.</w:t>
      </w:r>
    </w:p>
    <w:p w14:paraId="26AA1A17" w14:textId="77777777" w:rsidR="00F1319C" w:rsidRPr="00BC0D64" w:rsidRDefault="00F1319C" w:rsidP="00F1319C">
      <w:pPr>
        <w:rPr>
          <w:rFonts w:cs="Arial"/>
          <w:bCs/>
          <w:szCs w:val="22"/>
        </w:rPr>
      </w:pPr>
    </w:p>
    <w:p w14:paraId="66B7BA25" w14:textId="77777777" w:rsidR="00F1319C" w:rsidRPr="00BC0D64" w:rsidRDefault="00F1319C" w:rsidP="00F1319C">
      <w:pPr>
        <w:rPr>
          <w:rFonts w:cs="Arial"/>
          <w:bCs/>
          <w:szCs w:val="22"/>
        </w:rPr>
      </w:pPr>
      <w:r w:rsidRPr="00BC0D64">
        <w:rPr>
          <w:rFonts w:cs="Arial"/>
          <w:b/>
          <w:bCs/>
          <w:szCs w:val="22"/>
        </w:rPr>
        <w:t xml:space="preserve">1.5. </w:t>
      </w:r>
      <w:r w:rsidRPr="00BC0D64">
        <w:rPr>
          <w:rFonts w:cs="Arial"/>
          <w:szCs w:val="22"/>
        </w:rPr>
        <w:t>Identificar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 por Obras Públicas a Corto Plazo y Otros Derechos a Recibir Bienes o Servicios a Corto Plazo, con la finalidad de verificar que dichos anticipos se hayan otorgado para obtener bienes o servicios previstos por la Entidad Fiscalizada.</w:t>
      </w:r>
    </w:p>
    <w:bookmarkEnd w:id="1"/>
    <w:p w14:paraId="1A880226" w14:textId="214EC34D" w:rsidR="00C73699" w:rsidRDefault="00C73699" w:rsidP="00293214">
      <w:pPr>
        <w:rPr>
          <w:rFonts w:cs="Arial"/>
          <w:bCs/>
          <w:szCs w:val="22"/>
        </w:rPr>
      </w:pPr>
    </w:p>
    <w:p w14:paraId="65A71A84" w14:textId="56B126F9" w:rsidR="004C062B" w:rsidRDefault="004C062B" w:rsidP="00293214">
      <w:pPr>
        <w:rPr>
          <w:rFonts w:cs="Arial"/>
          <w:bCs/>
          <w:szCs w:val="22"/>
        </w:rPr>
      </w:pPr>
    </w:p>
    <w:p w14:paraId="6531034F" w14:textId="77777777" w:rsidR="004C062B" w:rsidRPr="00BC0D64" w:rsidRDefault="004C062B" w:rsidP="00293214">
      <w:pPr>
        <w:rPr>
          <w:rFonts w:cs="Arial"/>
          <w:bCs/>
          <w:szCs w:val="22"/>
        </w:rPr>
      </w:pPr>
    </w:p>
    <w:p w14:paraId="69D989E0" w14:textId="62F86B44" w:rsidR="00C73699" w:rsidRPr="00BC0D64" w:rsidRDefault="00C73699" w:rsidP="00293214">
      <w:pPr>
        <w:rPr>
          <w:rFonts w:cs="Arial"/>
          <w:b/>
          <w:bCs/>
          <w:szCs w:val="22"/>
        </w:rPr>
      </w:pPr>
      <w:r w:rsidRPr="00BC0D64">
        <w:rPr>
          <w:rFonts w:cs="Arial"/>
          <w:b/>
        </w:rPr>
        <w:lastRenderedPageBreak/>
        <w:t xml:space="preserve">SERVIDORES PÚBLICOS DE LA AUDITORÍA SUPERIOR A CARGO DE REALIZAR LA AUDITORÍA </w:t>
      </w:r>
      <w:r w:rsidR="00FD5DD8" w:rsidRPr="00BC0D64">
        <w:rPr>
          <w:rFonts w:cs="Arial"/>
          <w:b/>
        </w:rPr>
        <w:t>FINANCIERA</w:t>
      </w:r>
    </w:p>
    <w:p w14:paraId="598B46B1" w14:textId="5A05197A" w:rsidR="00C73699" w:rsidRPr="00BC0D64" w:rsidRDefault="001F5254" w:rsidP="00293214">
      <w:pPr>
        <w:rPr>
          <w:rFonts w:cs="Arial"/>
          <w:b/>
          <w:bCs/>
          <w:szCs w:val="22"/>
        </w:rPr>
      </w:pPr>
      <w:r>
        <w:rPr>
          <w:noProof/>
        </w:rPr>
        <mc:AlternateContent>
          <mc:Choice Requires="wps">
            <w:drawing>
              <wp:anchor distT="0" distB="0" distL="114300" distR="114300" simplePos="0" relativeHeight="251659264" behindDoc="0" locked="0" layoutInCell="1" allowOverlap="1" wp14:anchorId="10AF4D7E" wp14:editId="31AEFA18">
                <wp:simplePos x="0" y="0"/>
                <wp:positionH relativeFrom="margin">
                  <wp:posOffset>-635</wp:posOffset>
                </wp:positionH>
                <wp:positionV relativeFrom="paragraph">
                  <wp:posOffset>1905</wp:posOffset>
                </wp:positionV>
                <wp:extent cx="5575300" cy="76200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7620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602246" id="Rectángulo 2" o:spid="_x0000_s1026" style="position:absolute;margin-left:-.05pt;margin-top:.15pt;width:439pt;height:60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HgEeQIAAH4FAAAOAAAAZHJzL2Uyb0RvYy54bWysVE1v2zAMvQ/YfxB0X51kTbsFdYqgRYcB&#10;RVesHXpWZCkWIIsapcTJfv0o+SNtN+xQ7CKLJvlIPpG8uNw3lu0UBgOu5NOTCWfKSaiM25T8x+PN&#10;h0+chShcJSw4VfKDCvxy+f7dResXagY12EohIxAXFq0veR2jXxRFkLVqRDgBrxwpNWAjIom4KSoU&#10;LaE3tphNJmdFC1h5BKlCoL/XnZIvM77WSsZvWgcVmS055Rbziflcp7NYXojFBoWvjezTEG/IohHG&#10;UdAR6lpEwbZo/oBqjEQIoOOJhKYArY1UuQaqZjp5Vc1DLbzKtRA5wY80hf8HK+92D/4eiYbWh0Wg&#10;a6pir7FJX8qP7TNZh5EstY9M0s/5/Hz+cUKcStKdn9FjZDaLo7fHEL8oaFi6lBzpMTJHYncbIkUk&#10;08EkBQtgTXVjrM1CagB1ZZHtBD3dejNNT0UeL6yse5MjwSTP4lhyvsWDVQnPuu9KM1NRkbOccO7G&#10;YzJCSuXitFPVolJdjnNiYKBg9Mg5Z8CErKm6EbsHeFnogN0V29snV5WbeXSe/Cuxznn0yJHBxdG5&#10;MQ7wbwCWquojd/YDSR01iaU1VId7ZAjdKAUvbww9760I8V4gzQ51BO2D+I0ObaEtubTGc1YD/nr9&#10;L9lRK5OGs5ZmsOTh51ag4sx+ddTkn6enp2los3A6P5+RgM816+cat22ugHplShvHy3xN9tEOV43Q&#10;PNG6WKWopBJOUmxKMOIgXMVuN9DCkWq1ymY0qF7EW/fgZQJPbKa2fdw/CfR9b0eaijsY5lUsXrV4&#10;Z5s8Hay2EbTJ/X/ks+eZhjw3TL+Q0hZ5Lmer49pc/gYAAP//AwBQSwMEFAAGAAgAAAAhAF8iWOHc&#10;AAAABgEAAA8AAABkcnMvZG93bnJldi54bWxMjsFKw0AURfeC/zA8wV07aQqmTTMpIooILrQV7HKa&#10;eZMEM29CZpLGv/e50uXlHu49xX52nZhwCK0nBatlAgKp8qalWsHH8WmxARGiJqM7T6jgGwPsy+ur&#10;QufGX+gdp0OsBY9QyLWCJsY+lzJUDTodlr5H4s76wenIcailGfSFx10n0yS5k063xA+N7vGhwerr&#10;MDoFJ6ufj48v4VXadLLb9m38tNmo1O3NfL8DEXGOfzD86rM6lOx09iOZIDoFixWDCtYguNxk2RbE&#10;mak0WYMsC/lfv/wBAAD//wMAUEsBAi0AFAAGAAgAAAAhALaDOJL+AAAA4QEAABMAAAAAAAAAAAAA&#10;AAAAAAAAAFtDb250ZW50X1R5cGVzXS54bWxQSwECLQAUAAYACAAAACEAOP0h/9YAAACUAQAACwAA&#10;AAAAAAAAAAAAAAAvAQAAX3JlbHMvLnJlbHNQSwECLQAUAAYACAAAACEAZ+h4BHkCAAB+BQAADgAA&#10;AAAAAAAAAAAAAAAuAgAAZHJzL2Uyb0RvYy54bWxQSwECLQAUAAYACAAAACEAXyJY4dwAAAAGAQAA&#10;DwAAAAAAAAAAAAAAAADTBAAAZHJzL2Rvd25yZXYueG1sUEsFBgAAAAAEAAQA8wAAANwFAAAAAA==&#10;" fillcolor="white [3212]" strokecolor="white [3212]" strokeweight="1pt">
                <w10:wrap anchorx="margin"/>
              </v:rect>
            </w:pict>
          </mc:Fallback>
        </mc:AlternateContent>
      </w:r>
    </w:p>
    <w:tbl>
      <w:tblPr>
        <w:tblStyle w:val="Estilo1"/>
        <w:tblW w:w="3518" w:type="pct"/>
        <w:jc w:val="center"/>
        <w:tblLayout w:type="fixed"/>
        <w:tblLook w:val="04A0" w:firstRow="1" w:lastRow="0" w:firstColumn="1" w:lastColumn="0" w:noHBand="0" w:noVBand="1"/>
      </w:tblPr>
      <w:tblGrid>
        <w:gridCol w:w="567"/>
        <w:gridCol w:w="3955"/>
        <w:gridCol w:w="1696"/>
      </w:tblGrid>
      <w:tr w:rsidR="00DE1353" w:rsidRPr="004C062B" w14:paraId="4E095102" w14:textId="77777777" w:rsidTr="00DE1353">
        <w:trPr>
          <w:cnfStyle w:val="100000000000" w:firstRow="1" w:lastRow="0" w:firstColumn="0" w:lastColumn="0" w:oddVBand="0" w:evenVBand="0" w:oddHBand="0" w:evenHBand="0" w:firstRowFirstColumn="0" w:firstRowLastColumn="0" w:lastRowFirstColumn="0" w:lastRowLastColumn="0"/>
          <w:trHeight w:val="307"/>
          <w:jc w:val="center"/>
        </w:trPr>
        <w:tc>
          <w:tcPr>
            <w:tcW w:w="456" w:type="pct"/>
            <w:vAlign w:val="center"/>
          </w:tcPr>
          <w:p w14:paraId="0535B262" w14:textId="5D5463D5" w:rsidR="00DE1353" w:rsidRPr="004C062B" w:rsidRDefault="00DE1353" w:rsidP="00293214">
            <w:pPr>
              <w:pStyle w:val="Textoindependiente"/>
              <w:jc w:val="center"/>
              <w:outlineLvl w:val="0"/>
              <w:rPr>
                <w:rFonts w:cs="Arial"/>
                <w:b w:val="0"/>
                <w:sz w:val="16"/>
                <w:szCs w:val="16"/>
              </w:rPr>
            </w:pPr>
            <w:r w:rsidRPr="004C062B">
              <w:rPr>
                <w:rFonts w:cs="Arial"/>
                <w:sz w:val="16"/>
                <w:szCs w:val="16"/>
              </w:rPr>
              <w:t>No.</w:t>
            </w:r>
          </w:p>
        </w:tc>
        <w:tc>
          <w:tcPr>
            <w:tcW w:w="3180" w:type="pct"/>
            <w:vAlign w:val="center"/>
          </w:tcPr>
          <w:p w14:paraId="78090967" w14:textId="0986C331" w:rsidR="00DE1353" w:rsidRPr="004C062B" w:rsidRDefault="00DE1353" w:rsidP="00293214">
            <w:pPr>
              <w:jc w:val="center"/>
              <w:rPr>
                <w:rFonts w:cs="Arial"/>
                <w:sz w:val="16"/>
                <w:szCs w:val="16"/>
              </w:rPr>
            </w:pPr>
            <w:r w:rsidRPr="004C062B">
              <w:rPr>
                <w:rFonts w:cs="Arial"/>
                <w:sz w:val="16"/>
                <w:szCs w:val="16"/>
              </w:rPr>
              <w:t>NOMBRE</w:t>
            </w:r>
          </w:p>
        </w:tc>
        <w:tc>
          <w:tcPr>
            <w:tcW w:w="1364" w:type="pct"/>
            <w:vAlign w:val="center"/>
          </w:tcPr>
          <w:p w14:paraId="0DBAB047" w14:textId="11FAD5FE" w:rsidR="00DE1353" w:rsidRPr="004C062B" w:rsidRDefault="00DE1353" w:rsidP="00293214">
            <w:pPr>
              <w:jc w:val="center"/>
              <w:rPr>
                <w:rFonts w:cs="Arial"/>
                <w:sz w:val="16"/>
                <w:szCs w:val="16"/>
              </w:rPr>
            </w:pPr>
            <w:r w:rsidRPr="004C062B">
              <w:rPr>
                <w:rFonts w:cs="Arial"/>
                <w:sz w:val="16"/>
                <w:szCs w:val="16"/>
              </w:rPr>
              <w:t>CARGO</w:t>
            </w:r>
          </w:p>
        </w:tc>
      </w:tr>
      <w:tr w:rsidR="00DE1353" w:rsidRPr="004C062B" w14:paraId="06AB5587" w14:textId="77777777" w:rsidTr="00DE1353">
        <w:trPr>
          <w:cnfStyle w:val="000000100000" w:firstRow="0" w:lastRow="0" w:firstColumn="0" w:lastColumn="0" w:oddVBand="0" w:evenVBand="0" w:oddHBand="1" w:evenHBand="0" w:firstRowFirstColumn="0" w:firstRowLastColumn="0" w:lastRowFirstColumn="0" w:lastRowLastColumn="0"/>
          <w:trHeight w:val="217"/>
          <w:jc w:val="center"/>
        </w:trPr>
        <w:tc>
          <w:tcPr>
            <w:tcW w:w="456" w:type="pct"/>
          </w:tcPr>
          <w:p w14:paraId="10B0836C" w14:textId="4CBD5303" w:rsidR="00DE1353" w:rsidRPr="004C062B" w:rsidRDefault="00DE1353" w:rsidP="00293214">
            <w:pPr>
              <w:pStyle w:val="Textoindependiente"/>
              <w:jc w:val="center"/>
              <w:outlineLvl w:val="0"/>
              <w:rPr>
                <w:rFonts w:cs="Arial"/>
                <w:b/>
                <w:sz w:val="16"/>
                <w:szCs w:val="16"/>
              </w:rPr>
            </w:pPr>
            <w:r w:rsidRPr="004C062B">
              <w:rPr>
                <w:rFonts w:cs="Arial"/>
                <w:b/>
                <w:sz w:val="16"/>
                <w:szCs w:val="16"/>
              </w:rPr>
              <w:t>1</w:t>
            </w:r>
          </w:p>
        </w:tc>
        <w:tc>
          <w:tcPr>
            <w:tcW w:w="3180" w:type="pct"/>
          </w:tcPr>
          <w:p w14:paraId="5EAE7D4E" w14:textId="16267102" w:rsidR="00DE1353" w:rsidRPr="004C062B" w:rsidRDefault="00DE1353" w:rsidP="00293214">
            <w:pPr>
              <w:rPr>
                <w:rFonts w:cs="Arial"/>
                <w:sz w:val="16"/>
                <w:szCs w:val="16"/>
              </w:rPr>
            </w:pPr>
            <w:r w:rsidRPr="004C062B">
              <w:rPr>
                <w:rFonts w:cs="Arial"/>
                <w:sz w:val="16"/>
                <w:szCs w:val="16"/>
              </w:rPr>
              <w:t>C.P. Abel Pizano Rosiles</w:t>
            </w:r>
          </w:p>
        </w:tc>
        <w:tc>
          <w:tcPr>
            <w:tcW w:w="1364" w:type="pct"/>
          </w:tcPr>
          <w:p w14:paraId="670A0694" w14:textId="5BCA282D" w:rsidR="00DE1353" w:rsidRPr="004C062B" w:rsidRDefault="00DE1353" w:rsidP="00293214">
            <w:pPr>
              <w:jc w:val="center"/>
              <w:rPr>
                <w:rFonts w:cs="Arial"/>
                <w:sz w:val="16"/>
                <w:szCs w:val="16"/>
              </w:rPr>
            </w:pPr>
            <w:r w:rsidRPr="004C062B">
              <w:rPr>
                <w:rFonts w:cs="Arial"/>
                <w:sz w:val="16"/>
                <w:szCs w:val="16"/>
              </w:rPr>
              <w:t>Auditor</w:t>
            </w:r>
          </w:p>
        </w:tc>
      </w:tr>
      <w:tr w:rsidR="00DE1353" w:rsidRPr="004C062B" w14:paraId="529D333C" w14:textId="77777777" w:rsidTr="00DE1353">
        <w:trPr>
          <w:cnfStyle w:val="000000010000" w:firstRow="0" w:lastRow="0" w:firstColumn="0" w:lastColumn="0" w:oddVBand="0" w:evenVBand="0" w:oddHBand="0" w:evenHBand="1" w:firstRowFirstColumn="0" w:firstRowLastColumn="0" w:lastRowFirstColumn="0" w:lastRowLastColumn="0"/>
          <w:trHeight w:val="217"/>
          <w:jc w:val="center"/>
        </w:trPr>
        <w:tc>
          <w:tcPr>
            <w:tcW w:w="456" w:type="pct"/>
          </w:tcPr>
          <w:p w14:paraId="4527FFB8" w14:textId="77777777" w:rsidR="00DE1353" w:rsidRPr="004C062B" w:rsidRDefault="00DE1353" w:rsidP="00293214">
            <w:pPr>
              <w:pStyle w:val="Textoindependiente"/>
              <w:jc w:val="center"/>
              <w:outlineLvl w:val="0"/>
              <w:rPr>
                <w:rFonts w:cs="Arial"/>
                <w:b/>
                <w:sz w:val="16"/>
                <w:szCs w:val="16"/>
              </w:rPr>
            </w:pPr>
            <w:r w:rsidRPr="004C062B">
              <w:rPr>
                <w:rFonts w:cs="Arial"/>
                <w:b/>
                <w:sz w:val="16"/>
                <w:szCs w:val="16"/>
              </w:rPr>
              <w:t>2</w:t>
            </w:r>
          </w:p>
        </w:tc>
        <w:tc>
          <w:tcPr>
            <w:tcW w:w="3180" w:type="pct"/>
          </w:tcPr>
          <w:p w14:paraId="2A89FFF3" w14:textId="77777777" w:rsidR="00DE1353" w:rsidRPr="004C062B" w:rsidRDefault="00DE1353" w:rsidP="00293214">
            <w:pPr>
              <w:rPr>
                <w:rFonts w:cs="Arial"/>
                <w:sz w:val="16"/>
                <w:szCs w:val="16"/>
              </w:rPr>
            </w:pPr>
            <w:r w:rsidRPr="004C062B">
              <w:rPr>
                <w:rFonts w:cs="Arial"/>
                <w:sz w:val="16"/>
                <w:szCs w:val="16"/>
              </w:rPr>
              <w:t>C.P. María del Rocío Mondragón Bucio</w:t>
            </w:r>
          </w:p>
        </w:tc>
        <w:tc>
          <w:tcPr>
            <w:tcW w:w="1364" w:type="pct"/>
          </w:tcPr>
          <w:p w14:paraId="0B2CD968" w14:textId="77777777" w:rsidR="00DE1353" w:rsidRPr="004C062B" w:rsidRDefault="00DE1353" w:rsidP="00293214">
            <w:pPr>
              <w:jc w:val="center"/>
              <w:rPr>
                <w:rFonts w:cs="Arial"/>
                <w:sz w:val="16"/>
                <w:szCs w:val="16"/>
              </w:rPr>
            </w:pPr>
            <w:r w:rsidRPr="004C062B">
              <w:rPr>
                <w:rFonts w:cs="Arial"/>
                <w:sz w:val="16"/>
                <w:szCs w:val="16"/>
              </w:rPr>
              <w:t>Auditor</w:t>
            </w:r>
          </w:p>
        </w:tc>
      </w:tr>
    </w:tbl>
    <w:p w14:paraId="7ADA8276" w14:textId="77777777" w:rsidR="00236BFD" w:rsidRPr="00BC0D64" w:rsidRDefault="00236BFD" w:rsidP="00293214">
      <w:pPr>
        <w:jc w:val="center"/>
        <w:rPr>
          <w:rFonts w:cs="Arial"/>
          <w:b/>
          <w:bCs/>
          <w:szCs w:val="22"/>
        </w:rPr>
      </w:pPr>
    </w:p>
    <w:p w14:paraId="1CF48FCA" w14:textId="77777777" w:rsidR="00C73699" w:rsidRPr="00BC0D64" w:rsidRDefault="00C73699" w:rsidP="00293214">
      <w:pPr>
        <w:rPr>
          <w:rFonts w:cs="Arial"/>
          <w:b/>
          <w:bCs/>
          <w:szCs w:val="22"/>
        </w:rPr>
      </w:pPr>
      <w:r w:rsidRPr="00BC0D64">
        <w:rPr>
          <w:rFonts w:cs="Arial"/>
          <w:b/>
        </w:rPr>
        <w:t xml:space="preserve">EL CUMPLIMIENTO, </w:t>
      </w:r>
      <w:r w:rsidRPr="00BC0D64">
        <w:rPr>
          <w:rFonts w:cs="Arial"/>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6D3CE75C" w14:textId="77777777" w:rsidR="00C73699" w:rsidRPr="00BC0D64" w:rsidRDefault="00C73699" w:rsidP="00293214">
      <w:pPr>
        <w:rPr>
          <w:rFonts w:cs="Arial"/>
          <w:bCs/>
          <w:szCs w:val="22"/>
        </w:rPr>
      </w:pPr>
    </w:p>
    <w:p w14:paraId="5484B05A" w14:textId="77777777" w:rsidR="00C73699" w:rsidRPr="00BC0D64" w:rsidRDefault="00C73699" w:rsidP="00293214">
      <w:pPr>
        <w:rPr>
          <w:rFonts w:cs="Arial"/>
          <w:bCs/>
          <w:szCs w:val="22"/>
        </w:rPr>
      </w:pPr>
      <w:r w:rsidRPr="00BC0D64">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p>
    <w:p w14:paraId="016E5753" w14:textId="77777777" w:rsidR="00C73699" w:rsidRPr="00BC0D64" w:rsidRDefault="00C73699" w:rsidP="00293214">
      <w:pPr>
        <w:rPr>
          <w:rFonts w:cs="Arial"/>
          <w:bCs/>
          <w:szCs w:val="22"/>
        </w:rPr>
      </w:pPr>
    </w:p>
    <w:p w14:paraId="0118AA7A" w14:textId="77777777" w:rsidR="00C73699" w:rsidRPr="00BC0D64" w:rsidRDefault="00C73699" w:rsidP="00293214">
      <w:pPr>
        <w:pStyle w:val="Ttulo1"/>
        <w:shd w:val="clear" w:color="auto" w:fill="auto"/>
        <w:jc w:val="both"/>
        <w:rPr>
          <w:rFonts w:cs="Arial"/>
          <w:color w:val="auto"/>
          <w:szCs w:val="22"/>
        </w:rPr>
      </w:pPr>
      <w:r w:rsidRPr="00BC0D64">
        <w:rPr>
          <w:rFonts w:cs="Arial"/>
          <w:color w:val="auto"/>
        </w:rPr>
        <w:t>RESULTADOS DE LA FISCALIZACIÓN EFECTUADA, OBSERVACIONES, RECOMENDACIONES Y ACCIONES</w:t>
      </w:r>
    </w:p>
    <w:p w14:paraId="2A50BAF4" w14:textId="77777777" w:rsidR="00C73699" w:rsidRPr="00BC0D64" w:rsidRDefault="00C73699" w:rsidP="00293214">
      <w:pPr>
        <w:rPr>
          <w:rFonts w:cs="Arial"/>
          <w:color w:val="00000A"/>
          <w:szCs w:val="22"/>
        </w:rPr>
      </w:pPr>
    </w:p>
    <w:p w14:paraId="28411668" w14:textId="6449AE33" w:rsidR="00B90F11" w:rsidRPr="00BC0D64" w:rsidRDefault="00B90F11" w:rsidP="00293214">
      <w:pPr>
        <w:rPr>
          <w:rFonts w:cs="Arial"/>
          <w:szCs w:val="22"/>
          <w:lang w:val="es-ES_tradnl"/>
        </w:rPr>
      </w:pPr>
      <w:r w:rsidRPr="00BC0D64">
        <w:rPr>
          <w:rFonts w:cs="Arial"/>
          <w:color w:val="00000A"/>
          <w:szCs w:val="22"/>
        </w:rPr>
        <w:t xml:space="preserve">En términos de los artículos 52 y </w:t>
      </w:r>
      <w:r w:rsidRPr="00BC0D64">
        <w:rPr>
          <w:rFonts w:cs="Arial"/>
        </w:rPr>
        <w:t xml:space="preserve">65 fracciones IV y V, de </w:t>
      </w:r>
      <w:r w:rsidRPr="00BC0D64">
        <w:rPr>
          <w:rFonts w:cs="Arial"/>
          <w:color w:val="00000A"/>
          <w:szCs w:val="22"/>
        </w:rPr>
        <w:t>la Ley de Fiscalización Superior y Rendición de Cuentas del Estado de Michoacán de Ocampo,</w:t>
      </w:r>
      <w:r w:rsidRPr="00BC0D64">
        <w:rPr>
          <w:rFonts w:cs="Arial"/>
          <w:szCs w:val="22"/>
          <w:lang w:val="es-ES_tradnl"/>
        </w:rPr>
        <w:t xml:space="preserve"> se dieron a conocer </w:t>
      </w:r>
      <w:r w:rsidRPr="00BC0D64">
        <w:rPr>
          <w:rFonts w:cs="Arial"/>
          <w:color w:val="00000A"/>
          <w:szCs w:val="22"/>
        </w:rPr>
        <w:t xml:space="preserve">los </w:t>
      </w:r>
      <w:r w:rsidRPr="00BC0D64">
        <w:rPr>
          <w:rFonts w:cs="Arial"/>
          <w:szCs w:val="22"/>
          <w:lang w:val="es-ES_tradnl"/>
        </w:rPr>
        <w:t xml:space="preserve">Resultados y Observaciones Preliminares a la Entidad Fiscalizada, mediante Acuerdo Administrativo de fecha 4 de noviembre del año 2022, formalizados en Acta Circunstanciada, en la que se hizo constar la entrega de </w:t>
      </w:r>
      <w:r w:rsidRPr="00BC0D64">
        <w:rPr>
          <w:rFonts w:eastAsia="Arial Unicode MS" w:cs="Arial"/>
          <w:b/>
          <w:szCs w:val="22"/>
          <w:lang w:val="es-MX" w:eastAsia="es-MX"/>
        </w:rPr>
        <w:t>escritos</w:t>
      </w:r>
      <w:r w:rsidRPr="00BC0D64">
        <w:rPr>
          <w:rFonts w:eastAsia="Arial Unicode MS" w:cs="Arial"/>
          <w:szCs w:val="22"/>
          <w:lang w:val="es-MX" w:eastAsia="es-MX"/>
        </w:rPr>
        <w:t xml:space="preserve"> </w:t>
      </w:r>
      <w:r w:rsidRPr="00BC0D64">
        <w:rPr>
          <w:rFonts w:eastAsia="Arial Unicode MS" w:cs="Arial"/>
          <w:b/>
          <w:szCs w:val="22"/>
          <w:lang w:val="es-MX" w:eastAsia="es-MX"/>
        </w:rPr>
        <w:t xml:space="preserve">libres, </w:t>
      </w:r>
      <w:r w:rsidRPr="00BC0D64">
        <w:rPr>
          <w:rFonts w:eastAsia="Arial Unicode MS" w:cs="Arial"/>
          <w:szCs w:val="22"/>
          <w:lang w:val="es-MX" w:eastAsia="es-MX"/>
        </w:rPr>
        <w:t>ambos</w:t>
      </w:r>
      <w:r w:rsidRPr="00BC0D64">
        <w:rPr>
          <w:rFonts w:eastAsia="Arial Unicode MS" w:cs="Arial"/>
          <w:b/>
          <w:szCs w:val="22"/>
          <w:lang w:val="es-MX" w:eastAsia="es-MX"/>
        </w:rPr>
        <w:t xml:space="preserve"> </w:t>
      </w:r>
      <w:r w:rsidRPr="00BC0D64">
        <w:rPr>
          <w:rFonts w:eastAsia="Arial Unicode MS" w:cs="Arial"/>
          <w:szCs w:val="22"/>
          <w:lang w:val="es-MX" w:eastAsia="es-MX"/>
        </w:rPr>
        <w:t>de fecha 28 de noviembre de 2022</w:t>
      </w:r>
      <w:r w:rsidRPr="00BC0D64">
        <w:rPr>
          <w:rFonts w:cs="Arial"/>
          <w:lang w:eastAsia="es-MX"/>
        </w:rPr>
        <w:t xml:space="preserve">, y oficio número </w:t>
      </w:r>
      <w:r w:rsidRPr="00BC0D64">
        <w:rPr>
          <w:rFonts w:cs="Arial"/>
          <w:b/>
          <w:bCs/>
          <w:szCs w:val="22"/>
        </w:rPr>
        <w:t>CONTA/110/2022</w:t>
      </w:r>
      <w:r w:rsidRPr="00BC0D64">
        <w:rPr>
          <w:rFonts w:cs="Arial"/>
          <w:szCs w:val="22"/>
          <w:lang w:eastAsia="es-MX"/>
        </w:rPr>
        <w:t xml:space="preserve"> de fecha 2 de diciembre de 2022</w:t>
      </w:r>
      <w:r w:rsidRPr="00BC0D64">
        <w:rPr>
          <w:rFonts w:cs="Arial"/>
          <w:szCs w:val="22"/>
        </w:rPr>
        <w:t>,</w:t>
      </w:r>
      <w:r w:rsidRPr="00BC0D64">
        <w:rPr>
          <w:rFonts w:cs="Arial"/>
          <w:szCs w:val="22"/>
          <w:lang w:val="es-ES_tradnl"/>
        </w:rPr>
        <w:t xml:space="preserve"> </w:t>
      </w:r>
      <w:r w:rsidRPr="00BC0D64">
        <w:rPr>
          <w:rFonts w:cs="Arial"/>
          <w:szCs w:val="22"/>
        </w:rPr>
        <w:t>en los que la Entidad Fiscalizada presentó las justificaciones y aclaraciones que estimó necesarias, por lo que</w:t>
      </w:r>
      <w:r w:rsidRPr="00BC0D64">
        <w:rPr>
          <w:rFonts w:cs="Arial"/>
          <w:color w:val="00000A"/>
          <w:szCs w:val="22"/>
        </w:rPr>
        <w:t xml:space="preserve"> l</w:t>
      </w:r>
      <w:r w:rsidRPr="00BC0D64">
        <w:rPr>
          <w:rFonts w:cs="Arial"/>
          <w:szCs w:val="22"/>
        </w:rPr>
        <w:t xml:space="preserve">os resultados, observaciones, acciones y recomendaciones contenidas en el presente Informe Individual de Auditoría, se dan a conocer conforme a lo establecido en el artículo 53 de la </w:t>
      </w:r>
      <w:r w:rsidRPr="00BC0D64">
        <w:rPr>
          <w:rFonts w:cs="Arial"/>
          <w:color w:val="000000"/>
          <w:szCs w:val="22"/>
          <w:lang w:eastAsia="en-US"/>
        </w:rPr>
        <w:t>Ley en cita.</w:t>
      </w:r>
    </w:p>
    <w:p w14:paraId="65D29B58" w14:textId="77777777" w:rsidR="00C73699" w:rsidRPr="00BC0D64" w:rsidRDefault="00C73699" w:rsidP="00293214">
      <w:pPr>
        <w:rPr>
          <w:rFonts w:cs="Arial"/>
          <w:color w:val="000000"/>
          <w:szCs w:val="22"/>
          <w:lang w:eastAsia="en-US"/>
        </w:rPr>
      </w:pPr>
    </w:p>
    <w:p w14:paraId="5B9E6ED6" w14:textId="77777777" w:rsidR="00C73699" w:rsidRPr="00BC0D64" w:rsidRDefault="00C73699" w:rsidP="00293214">
      <w:pPr>
        <w:ind w:left="57"/>
        <w:rPr>
          <w:rFonts w:cs="Arial"/>
          <w:szCs w:val="22"/>
        </w:rPr>
      </w:pPr>
      <w:r w:rsidRPr="00BC0D64">
        <w:rPr>
          <w:rFonts w:cs="Arial"/>
          <w:szCs w:val="22"/>
        </w:rPr>
        <w:t>La documentación presentada fue valorada por el personal actuante para la elaboración del Informe, cuyos resultados se detallan a continuación:</w:t>
      </w:r>
    </w:p>
    <w:p w14:paraId="680EE8D9" w14:textId="2458DA46" w:rsidR="00C73699" w:rsidRDefault="00C73699" w:rsidP="00293214">
      <w:pPr>
        <w:ind w:left="57"/>
        <w:rPr>
          <w:rFonts w:cs="Arial"/>
          <w:color w:val="00000A"/>
          <w:szCs w:val="22"/>
        </w:rPr>
      </w:pPr>
    </w:p>
    <w:p w14:paraId="7FBA6A78" w14:textId="2D9382E5" w:rsidR="004C062B" w:rsidRDefault="004C062B" w:rsidP="00293214">
      <w:pPr>
        <w:ind w:left="57"/>
        <w:rPr>
          <w:rFonts w:cs="Arial"/>
          <w:color w:val="00000A"/>
          <w:szCs w:val="22"/>
        </w:rPr>
      </w:pPr>
    </w:p>
    <w:p w14:paraId="6DBBD7DF" w14:textId="77777777" w:rsidR="004C062B" w:rsidRDefault="004C062B" w:rsidP="00293214">
      <w:pPr>
        <w:ind w:left="57"/>
        <w:rPr>
          <w:rFonts w:cs="Arial"/>
          <w:b/>
          <w:szCs w:val="22"/>
        </w:rPr>
      </w:pPr>
      <w:bookmarkStart w:id="2" w:name="_Hlk52970898"/>
    </w:p>
    <w:p w14:paraId="286D6F2E" w14:textId="32E09B8A" w:rsidR="00C73699" w:rsidRPr="00BC0D64" w:rsidRDefault="00C73699" w:rsidP="00293214">
      <w:pPr>
        <w:ind w:left="57"/>
        <w:rPr>
          <w:rFonts w:cs="Arial"/>
          <w:b/>
          <w:bCs/>
          <w:szCs w:val="22"/>
        </w:rPr>
      </w:pPr>
      <w:r w:rsidRPr="00BC0D64">
        <w:rPr>
          <w:rFonts w:cs="Arial"/>
          <w:b/>
          <w:szCs w:val="22"/>
        </w:rPr>
        <w:t xml:space="preserve">1.1. Observación Preliminar número </w:t>
      </w:r>
      <w:r w:rsidRPr="00BC0D64">
        <w:rPr>
          <w:rFonts w:cs="Arial"/>
          <w:b/>
          <w:bCs/>
          <w:szCs w:val="22"/>
        </w:rPr>
        <w:t>01</w:t>
      </w:r>
    </w:p>
    <w:p w14:paraId="094F0723" w14:textId="77777777" w:rsidR="00C73699" w:rsidRPr="00BC0D64" w:rsidRDefault="00C73699" w:rsidP="00293214">
      <w:pPr>
        <w:rPr>
          <w:rFonts w:cs="Arial"/>
          <w:iCs/>
          <w:szCs w:val="22"/>
          <w:lang w:eastAsia="es-MX"/>
        </w:rPr>
      </w:pPr>
    </w:p>
    <w:bookmarkEnd w:id="2"/>
    <w:p w14:paraId="50F87482" w14:textId="15E5D818" w:rsidR="00236BFD" w:rsidRPr="00BC0D64" w:rsidRDefault="00236BFD" w:rsidP="00293214">
      <w:pPr>
        <w:pStyle w:val="Forma"/>
        <w:shd w:val="clear" w:color="auto" w:fill="FFFFFF"/>
        <w:spacing w:line="276" w:lineRule="auto"/>
        <w:ind w:left="57"/>
        <w:jc w:val="both"/>
        <w:rPr>
          <w:rFonts w:ascii="Arial" w:hAnsi="Arial" w:cs="Arial"/>
          <w:sz w:val="22"/>
          <w:szCs w:val="22"/>
        </w:rPr>
      </w:pPr>
      <w:r w:rsidRPr="00BC0D64">
        <w:rPr>
          <w:rFonts w:ascii="Arial" w:hAnsi="Arial" w:cs="Arial"/>
          <w:sz w:val="22"/>
          <w:szCs w:val="22"/>
          <w:lang w:val="es-ES"/>
        </w:rPr>
        <w:t>Del análisis y revisión a la documentación e información proporcionada para el desarrollo de la fiscalización, por la Entidad Fiscalizada</w:t>
      </w:r>
      <w:r w:rsidRPr="00BC0D64">
        <w:rPr>
          <w:rFonts w:ascii="Arial" w:hAnsi="Arial" w:cs="Arial"/>
          <w:sz w:val="22"/>
          <w:szCs w:val="22"/>
        </w:rPr>
        <w:t>,</w:t>
      </w:r>
      <w:r w:rsidRPr="00BC0D64">
        <w:rPr>
          <w:rFonts w:ascii="Arial" w:hAnsi="Arial" w:cs="Arial"/>
          <w:bCs/>
          <w:sz w:val="22"/>
          <w:szCs w:val="22"/>
          <w:lang w:val="es-ES"/>
        </w:rPr>
        <w:t xml:space="preserve"> se </w:t>
      </w:r>
      <w:r w:rsidRPr="00BC0D64">
        <w:rPr>
          <w:rFonts w:ascii="Arial" w:hAnsi="Arial" w:cs="Arial"/>
          <w:sz w:val="22"/>
          <w:szCs w:val="22"/>
        </w:rPr>
        <w:t xml:space="preserve">pudo constatar en su página de internet, en la liga </w:t>
      </w:r>
      <w:hyperlink r:id="rId8" w:history="1">
        <w:r w:rsidRPr="00BC0D64">
          <w:rPr>
            <w:rStyle w:val="Hipervnculo"/>
            <w:rFonts w:ascii="Arial" w:hAnsi="Arial" w:cs="Arial"/>
            <w:sz w:val="22"/>
            <w:szCs w:val="22"/>
          </w:rPr>
          <w:t>https://turicato.gob.mx/svc/link/ayuntamiento_sevac_2021_4t_relacion-de-los-bienes-que-componen-su-patrimonio-conforme-a-los-formatos-que-apruebe-el conac_300322191648.pdf</w:t>
        </w:r>
      </w:hyperlink>
      <w:r w:rsidRPr="00BC0D64">
        <w:rPr>
          <w:rFonts w:ascii="Arial" w:hAnsi="Arial" w:cs="Arial"/>
          <w:sz w:val="22"/>
          <w:szCs w:val="22"/>
        </w:rPr>
        <w:t xml:space="preserve">, donde </w:t>
      </w:r>
      <w:r w:rsidRPr="00BC0D64">
        <w:rPr>
          <w:rFonts w:ascii="Arial" w:hAnsi="Arial" w:cs="Arial"/>
          <w:bCs/>
          <w:sz w:val="22"/>
          <w:szCs w:val="22"/>
          <w:lang w:val="es-ES"/>
        </w:rPr>
        <w:t>presentó copia certificada de captura de pantalla del Inventario actualizado de bienes inmuebles, muebles e intangibles, por lo que se da revisión a este documento de la Cuenta Pública Anual</w:t>
      </w:r>
      <w:r w:rsidRPr="00BC0D64">
        <w:rPr>
          <w:rFonts w:ascii="Arial" w:hAnsi="Arial" w:cs="Arial"/>
          <w:iCs/>
          <w:sz w:val="22"/>
          <w:szCs w:val="22"/>
        </w:rPr>
        <w:t>, y al conciliar con el registro contable al 31 de diciembre de 2021, de la Relación de Bienes Inmuebles, muebles e Intangibles con el Estado de Situación Financiera al 31 de diciembre de 2021, se pudo constatar que no se encuentran debidamente conciliados con el registro contable de los bienes inmuebles, muebles e intangibles,</w:t>
      </w:r>
      <w:r w:rsidRPr="00BC0D64">
        <w:rPr>
          <w:rFonts w:ascii="Arial" w:hAnsi="Arial" w:cs="Arial"/>
          <w:sz w:val="22"/>
          <w:szCs w:val="22"/>
        </w:rPr>
        <w:t xml:space="preserve"> </w:t>
      </w:r>
      <w:r w:rsidRPr="00BC0D64">
        <w:rPr>
          <w:rFonts w:ascii="Arial" w:hAnsi="Arial" w:cs="Arial"/>
          <w:iCs/>
          <w:sz w:val="22"/>
          <w:szCs w:val="22"/>
        </w:rPr>
        <w:t>de acuerdo a la normatividad emitida por el Consejo Nacional de Armonización Contable (CONAC).</w:t>
      </w:r>
    </w:p>
    <w:p w14:paraId="669A6E46" w14:textId="77777777" w:rsidR="00236BFD" w:rsidRPr="00BC0D64" w:rsidRDefault="00236BFD" w:rsidP="00293214">
      <w:pPr>
        <w:pStyle w:val="Forma"/>
        <w:shd w:val="clear" w:color="auto" w:fill="FFFFFF"/>
        <w:spacing w:line="276" w:lineRule="auto"/>
        <w:ind w:left="57"/>
        <w:jc w:val="both"/>
        <w:rPr>
          <w:rFonts w:ascii="Arial" w:eastAsia="Arial" w:hAnsi="Arial" w:cs="Arial"/>
          <w:spacing w:val="1"/>
          <w:sz w:val="22"/>
          <w:szCs w:val="22"/>
          <w:lang w:eastAsia="es-MX"/>
        </w:rPr>
      </w:pPr>
    </w:p>
    <w:p w14:paraId="53EF3E15" w14:textId="5CECC492" w:rsidR="00623BB8" w:rsidRPr="00BC0D64" w:rsidRDefault="003742F9" w:rsidP="00293214">
      <w:pPr>
        <w:shd w:val="clear" w:color="auto" w:fill="FFFFFF"/>
        <w:ind w:left="708" w:hanging="708"/>
        <w:rPr>
          <w:rFonts w:cs="Arial"/>
          <w:b/>
          <w:bCs/>
          <w:szCs w:val="22"/>
          <w:lang w:val="x-none"/>
        </w:rPr>
      </w:pPr>
      <w:r w:rsidRPr="00BC0D64">
        <w:rPr>
          <w:rFonts w:cs="Arial"/>
          <w:b/>
          <w:bCs/>
          <w:szCs w:val="22"/>
          <w:lang w:val="x-none"/>
        </w:rPr>
        <w:t>Disposiciones Jurídicas Infringidas</w:t>
      </w:r>
    </w:p>
    <w:p w14:paraId="1C2D7E5B" w14:textId="77777777" w:rsidR="00623BB8" w:rsidRPr="00BC0D64" w:rsidRDefault="00623BB8" w:rsidP="00293214">
      <w:pPr>
        <w:shd w:val="clear" w:color="auto" w:fill="FFFFFF"/>
        <w:ind w:left="708" w:hanging="708"/>
        <w:rPr>
          <w:rFonts w:cs="Arial"/>
          <w:b/>
          <w:bCs/>
          <w:szCs w:val="22"/>
          <w:lang w:val="x-none"/>
        </w:rPr>
      </w:pPr>
    </w:p>
    <w:p w14:paraId="1855218F" w14:textId="77777777" w:rsidR="00623BB8" w:rsidRPr="00BC0D64" w:rsidRDefault="00623BB8" w:rsidP="00293214">
      <w:pPr>
        <w:rPr>
          <w:rFonts w:cs="Arial"/>
          <w:szCs w:val="22"/>
        </w:rPr>
      </w:pPr>
      <w:r w:rsidRPr="00BC0D64">
        <w:rPr>
          <w:rFonts w:cs="Arial"/>
          <w:szCs w:val="22"/>
        </w:rPr>
        <w:t>Artículos 23, 24 y 27 de la Ley General de Contabilidad Gubernamental.</w:t>
      </w:r>
    </w:p>
    <w:p w14:paraId="3722F99E" w14:textId="77777777" w:rsidR="00CA709A" w:rsidRPr="00BC0D64" w:rsidRDefault="00CA709A" w:rsidP="00293214">
      <w:pPr>
        <w:rPr>
          <w:rFonts w:cs="Arial"/>
          <w:szCs w:val="22"/>
        </w:rPr>
      </w:pPr>
    </w:p>
    <w:p w14:paraId="1353A8EA" w14:textId="45ABC575" w:rsidR="00B90F11" w:rsidRPr="00BC0D64" w:rsidRDefault="00B90F11" w:rsidP="00293214">
      <w:pPr>
        <w:autoSpaceDE w:val="0"/>
        <w:autoSpaceDN w:val="0"/>
        <w:adjustRightInd w:val="0"/>
        <w:rPr>
          <w:rFonts w:cs="Arial"/>
          <w:i/>
          <w:color w:val="000000" w:themeColor="text1"/>
        </w:rPr>
      </w:pPr>
      <w:r w:rsidRPr="00BC0D64">
        <w:rPr>
          <w:rFonts w:cs="Arial"/>
          <w:szCs w:val="22"/>
        </w:rPr>
        <w:t xml:space="preserve">En el desarrollo de la reunión de trabajo, en la cual se levantó Acta Circunstanciada de fecha 28 de noviembre de 2022, la Entidad Fiscalizada manifestó lo siguiente: </w:t>
      </w:r>
      <w:r w:rsidRPr="00BC0D64">
        <w:rPr>
          <w:rFonts w:cs="Arial"/>
          <w:i/>
          <w:lang w:eastAsia="es-MX"/>
        </w:rPr>
        <w:t>“</w:t>
      </w:r>
      <w:r w:rsidRPr="00BC0D64">
        <w:rPr>
          <w:rFonts w:cs="Arial"/>
          <w:i/>
          <w:color w:val="000000" w:themeColor="text1"/>
        </w:rPr>
        <w:t>Al respecto de este señalamiento hemos de manifestar que nos encontramos en proceso de conciliación de los valores contables y del inventario físico, lo cual será ajustado con autorización del Ayuntamiento y presentado a la Auditoría Superior de Michoacán para su superior conocimiento”.</w:t>
      </w:r>
    </w:p>
    <w:p w14:paraId="0B83DFE5" w14:textId="77777777" w:rsidR="00B90F11" w:rsidRPr="00BC0D64" w:rsidRDefault="00B90F11" w:rsidP="00293214">
      <w:pPr>
        <w:rPr>
          <w:rFonts w:cs="Arial"/>
          <w:szCs w:val="22"/>
        </w:rPr>
      </w:pPr>
    </w:p>
    <w:p w14:paraId="135D4E28" w14:textId="77777777" w:rsidR="00B90F11" w:rsidRPr="00BC0D64" w:rsidRDefault="00B90F11" w:rsidP="00293214">
      <w:pPr>
        <w:rPr>
          <w:rFonts w:eastAsia="Arial Unicode MS" w:cs="Arial"/>
          <w:bCs/>
          <w:lang w:eastAsia="es-MX"/>
        </w:rPr>
      </w:pPr>
      <w:r w:rsidRPr="00BC0D64">
        <w:rPr>
          <w:rFonts w:cs="Arial"/>
          <w:iCs/>
        </w:rPr>
        <w:t>Asimismo</w:t>
      </w:r>
      <w:r w:rsidRPr="00BC0D64">
        <w:rPr>
          <w:rFonts w:cs="Arial"/>
          <w:i/>
        </w:rPr>
        <w:t xml:space="preserve">, </w:t>
      </w:r>
      <w:r w:rsidRPr="00BC0D64">
        <w:rPr>
          <w:rFonts w:cs="Arial"/>
          <w:iCs/>
        </w:rPr>
        <w:t xml:space="preserve">mediante escrito de fecha 28 de noviembre de 2022, los servidores públicos que estuvieron en funciones durante el ejercicio fiscal sujeto a revisión, manifestaron lo siguiente: </w:t>
      </w:r>
      <w:r w:rsidRPr="00BC0D64">
        <w:rPr>
          <w:rFonts w:eastAsia="Arial Unicode MS" w:cs="Arial"/>
          <w:bCs/>
          <w:lang w:eastAsia="es-MX"/>
        </w:rPr>
        <w:t>no entregaron evidencia documental.</w:t>
      </w:r>
    </w:p>
    <w:p w14:paraId="3C08C7EA" w14:textId="4D4CB8E0" w:rsidR="00B90F11" w:rsidRPr="00BC0D64" w:rsidRDefault="00B90F11" w:rsidP="00293214">
      <w:pPr>
        <w:pStyle w:val="Standard"/>
        <w:spacing w:after="0"/>
        <w:jc w:val="both"/>
        <w:rPr>
          <w:rFonts w:ascii="Arial" w:hAnsi="Arial" w:cs="Arial"/>
          <w:iCs/>
        </w:rPr>
      </w:pPr>
    </w:p>
    <w:p w14:paraId="37EA3E8A" w14:textId="5752F096" w:rsidR="00B90F11" w:rsidRPr="00BC0D64" w:rsidRDefault="00B90F11" w:rsidP="00293214">
      <w:pPr>
        <w:tabs>
          <w:tab w:val="left" w:pos="10022"/>
        </w:tabs>
        <w:rPr>
          <w:rFonts w:cs="Arial"/>
          <w:b/>
          <w:bCs/>
          <w:color w:val="000000"/>
          <w:szCs w:val="22"/>
        </w:rPr>
      </w:pPr>
      <w:r w:rsidRPr="00BC0D64">
        <w:rPr>
          <w:rFonts w:cs="Arial"/>
          <w:color w:val="000000"/>
          <w:szCs w:val="22"/>
        </w:rPr>
        <w:t xml:space="preserve">Los elementos proporcionados y las manifestaciones señaladas con anterioridad no justificaron la inconsistencia que guarda relación con el hecho observado, por lo que </w:t>
      </w:r>
      <w:r w:rsidR="00DB4B49" w:rsidRPr="00BC0D64">
        <w:rPr>
          <w:rFonts w:cs="Arial"/>
          <w:b/>
          <w:bCs/>
          <w:color w:val="000000"/>
          <w:szCs w:val="22"/>
        </w:rPr>
        <w:t>se ra</w:t>
      </w:r>
      <w:r w:rsidRPr="00BC0D64">
        <w:rPr>
          <w:rFonts w:cs="Arial"/>
          <w:b/>
          <w:bCs/>
          <w:color w:val="000000"/>
          <w:szCs w:val="22"/>
        </w:rPr>
        <w:t>tifica</w:t>
      </w:r>
      <w:r w:rsidRPr="00BC0D64">
        <w:rPr>
          <w:rFonts w:cs="Arial"/>
          <w:color w:val="000000"/>
          <w:szCs w:val="22"/>
        </w:rPr>
        <w:t xml:space="preserve"> </w:t>
      </w:r>
      <w:r w:rsidRPr="00BC0D64">
        <w:rPr>
          <w:rFonts w:cs="Arial"/>
          <w:b/>
          <w:bCs/>
          <w:color w:val="000000"/>
          <w:szCs w:val="22"/>
        </w:rPr>
        <w:t>la Observación Preliminar número</w:t>
      </w:r>
      <w:r w:rsidRPr="00BC0D64">
        <w:rPr>
          <w:rFonts w:cs="Arial"/>
          <w:color w:val="000000"/>
          <w:szCs w:val="22"/>
        </w:rPr>
        <w:t xml:space="preserve"> </w:t>
      </w:r>
      <w:r w:rsidRPr="00BC0D64">
        <w:rPr>
          <w:rFonts w:cs="Arial"/>
          <w:b/>
          <w:bCs/>
          <w:color w:val="000000"/>
          <w:szCs w:val="22"/>
        </w:rPr>
        <w:t>0</w:t>
      </w:r>
      <w:r w:rsidR="00DB4B49" w:rsidRPr="00BC0D64">
        <w:rPr>
          <w:rFonts w:cs="Arial"/>
          <w:b/>
          <w:bCs/>
          <w:color w:val="000000"/>
          <w:szCs w:val="22"/>
        </w:rPr>
        <w:t>1</w:t>
      </w:r>
      <w:r w:rsidRPr="00BC0D64">
        <w:rPr>
          <w:rFonts w:cs="Arial"/>
          <w:b/>
          <w:bCs/>
          <w:color w:val="000000"/>
          <w:szCs w:val="22"/>
        </w:rPr>
        <w:t>.</w:t>
      </w:r>
    </w:p>
    <w:p w14:paraId="306E0881" w14:textId="77777777" w:rsidR="00B90F11" w:rsidRPr="00BC0D64" w:rsidRDefault="00B90F11" w:rsidP="00293214">
      <w:pPr>
        <w:tabs>
          <w:tab w:val="left" w:pos="10022"/>
        </w:tabs>
        <w:rPr>
          <w:rFonts w:cs="Arial"/>
          <w:b/>
          <w:bCs/>
          <w:color w:val="000000"/>
          <w:szCs w:val="22"/>
        </w:rPr>
      </w:pPr>
    </w:p>
    <w:p w14:paraId="08490493" w14:textId="3B714BEF" w:rsidR="00B90F11" w:rsidRPr="00BC0D64" w:rsidRDefault="00B90F11" w:rsidP="00293214">
      <w:pPr>
        <w:rPr>
          <w:rFonts w:cs="Arial"/>
          <w:color w:val="00000A"/>
          <w:szCs w:val="22"/>
        </w:rPr>
      </w:pPr>
      <w:r w:rsidRPr="00BC0D64">
        <w:rPr>
          <w:rFonts w:cs="Arial"/>
          <w:color w:val="00000A"/>
          <w:szCs w:val="22"/>
        </w:rPr>
        <w:t xml:space="preserve">Derivado de lo anterior, conforme a las pruebas ofertadas se determinó elaborar el Informe de Presuntas Irregularidades número </w:t>
      </w:r>
      <w:r w:rsidRPr="00BC0D64">
        <w:rPr>
          <w:rFonts w:cs="Arial"/>
          <w:b/>
          <w:bCs/>
          <w:color w:val="00000A"/>
          <w:szCs w:val="22"/>
        </w:rPr>
        <w:t>ASM/AEFM/DGPF/CP2021/</w:t>
      </w:r>
      <w:r w:rsidR="004C062B">
        <w:rPr>
          <w:rFonts w:cs="Arial"/>
          <w:b/>
          <w:bCs/>
          <w:color w:val="00000A"/>
          <w:szCs w:val="22"/>
        </w:rPr>
        <w:t>AF</w:t>
      </w:r>
      <w:r w:rsidRPr="00BC0D64">
        <w:rPr>
          <w:rFonts w:cs="Arial"/>
          <w:b/>
          <w:bCs/>
          <w:color w:val="00000A"/>
          <w:szCs w:val="22"/>
        </w:rPr>
        <w:t>/M097/23</w:t>
      </w:r>
      <w:r w:rsidR="00DB4B49" w:rsidRPr="00BC0D64">
        <w:rPr>
          <w:rFonts w:cs="Arial"/>
          <w:b/>
          <w:bCs/>
          <w:color w:val="00000A"/>
          <w:szCs w:val="22"/>
        </w:rPr>
        <w:t>2</w:t>
      </w:r>
      <w:r w:rsidRPr="00BC0D64">
        <w:rPr>
          <w:rFonts w:cs="Arial"/>
          <w:b/>
          <w:bCs/>
          <w:color w:val="00000A"/>
          <w:szCs w:val="22"/>
        </w:rPr>
        <w:t>/IPI-01</w:t>
      </w:r>
      <w:r w:rsidRPr="00BC0D64">
        <w:rPr>
          <w:rFonts w:cs="Arial"/>
          <w:color w:val="00000A"/>
          <w:szCs w:val="22"/>
        </w:rPr>
        <w:t xml:space="preserve">, el </w:t>
      </w:r>
      <w:r w:rsidRPr="00BC0D64">
        <w:rPr>
          <w:rFonts w:cs="Arial"/>
          <w:color w:val="00000A"/>
          <w:szCs w:val="22"/>
        </w:rPr>
        <w:lastRenderedPageBreak/>
        <w:t>cual será turnado a la Autoridad Investigadora de este Órgano Técnico, para su trámite correspondiente.</w:t>
      </w:r>
    </w:p>
    <w:p w14:paraId="4D7817A0" w14:textId="77777777" w:rsidR="00F1319C" w:rsidRPr="00BC0D64" w:rsidRDefault="00F1319C" w:rsidP="00293214">
      <w:pPr>
        <w:rPr>
          <w:rFonts w:cs="Arial"/>
          <w:color w:val="00000A"/>
          <w:szCs w:val="22"/>
        </w:rPr>
      </w:pPr>
    </w:p>
    <w:p w14:paraId="7689B51B" w14:textId="671D2E61" w:rsidR="00F1319C" w:rsidRPr="00BC0D64" w:rsidRDefault="00F1319C" w:rsidP="00F1319C">
      <w:pPr>
        <w:rPr>
          <w:rFonts w:cs="Arial"/>
          <w:bCs/>
          <w:szCs w:val="22"/>
        </w:rPr>
      </w:pPr>
      <w:r w:rsidRPr="00BC0D64">
        <w:rPr>
          <w:rFonts w:cs="Arial"/>
          <w:b/>
          <w:bCs/>
          <w:szCs w:val="22"/>
        </w:rPr>
        <w:t>1.2.</w:t>
      </w:r>
      <w:r w:rsidRPr="00BC0D64">
        <w:rPr>
          <w:rFonts w:cs="Arial"/>
          <w:bCs/>
          <w:szCs w:val="22"/>
        </w:rPr>
        <w:t xml:space="preserve"> Se constató que se efectuó el registro de las Depreciaciones y Amortizaciones de los bienes muebles e inmuebles, correspondientes al ejercicio </w:t>
      </w:r>
      <w:r w:rsidR="004C062B">
        <w:rPr>
          <w:rFonts w:cs="Arial"/>
          <w:bCs/>
          <w:szCs w:val="22"/>
        </w:rPr>
        <w:t xml:space="preserve">fiscal </w:t>
      </w:r>
      <w:r w:rsidRPr="00BC0D64">
        <w:rPr>
          <w:rFonts w:cs="Arial"/>
          <w:bCs/>
          <w:szCs w:val="22"/>
        </w:rPr>
        <w:t>sujeto a revisión,</w:t>
      </w:r>
      <w:r w:rsidRPr="00BC0D64">
        <w:rPr>
          <w:szCs w:val="22"/>
        </w:rPr>
        <w:t xml:space="preserve"> por lo que no se detectaron irregularidades que presuman la existencia de conductas, actos, hechos u omisiones; en consecuencia, no se generaron observaciones preliminares.</w:t>
      </w:r>
    </w:p>
    <w:p w14:paraId="1DA30DC3" w14:textId="77777777" w:rsidR="00B90F11" w:rsidRPr="00BC0D64" w:rsidRDefault="00B90F11" w:rsidP="00293214">
      <w:pPr>
        <w:rPr>
          <w:rFonts w:cs="Arial"/>
          <w:szCs w:val="22"/>
        </w:rPr>
      </w:pPr>
    </w:p>
    <w:p w14:paraId="5D1EC82A" w14:textId="4065BBA9" w:rsidR="00702A42" w:rsidRPr="00BC0D64" w:rsidRDefault="00F1319C" w:rsidP="00F1319C">
      <w:pPr>
        <w:rPr>
          <w:rFonts w:cs="Arial"/>
          <w:b/>
          <w:bCs/>
          <w:szCs w:val="22"/>
        </w:rPr>
      </w:pPr>
      <w:r w:rsidRPr="00BC0D64">
        <w:rPr>
          <w:rFonts w:cs="Arial"/>
          <w:b/>
          <w:szCs w:val="22"/>
        </w:rPr>
        <w:t>1.3</w:t>
      </w:r>
      <w:r w:rsidR="00702A42" w:rsidRPr="00BC0D64">
        <w:rPr>
          <w:rFonts w:cs="Arial"/>
          <w:b/>
          <w:szCs w:val="22"/>
        </w:rPr>
        <w:t xml:space="preserve">. Observación Preliminar número </w:t>
      </w:r>
      <w:r w:rsidR="00702A42" w:rsidRPr="00BC0D64">
        <w:rPr>
          <w:rFonts w:cs="Arial"/>
          <w:b/>
          <w:bCs/>
          <w:szCs w:val="22"/>
        </w:rPr>
        <w:t>02</w:t>
      </w:r>
    </w:p>
    <w:p w14:paraId="4D856578" w14:textId="77777777" w:rsidR="00236BFD" w:rsidRPr="00BC0D64" w:rsidRDefault="00236BFD" w:rsidP="00293214">
      <w:pPr>
        <w:pStyle w:val="Forma"/>
        <w:shd w:val="clear" w:color="auto" w:fill="FFFFFF"/>
        <w:spacing w:line="276" w:lineRule="auto"/>
        <w:ind w:left="57"/>
        <w:jc w:val="both"/>
        <w:rPr>
          <w:rFonts w:ascii="Arial" w:eastAsia="Arial" w:hAnsi="Arial" w:cs="Arial"/>
          <w:spacing w:val="1"/>
          <w:sz w:val="22"/>
          <w:szCs w:val="22"/>
          <w:lang w:eastAsia="es-MX"/>
        </w:rPr>
      </w:pPr>
    </w:p>
    <w:p w14:paraId="40DE41F9" w14:textId="12F1C786" w:rsidR="00702A42" w:rsidRPr="00BC0D64" w:rsidRDefault="00702A42" w:rsidP="00293214">
      <w:pPr>
        <w:pStyle w:val="Forma"/>
        <w:shd w:val="clear" w:color="auto" w:fill="FFFFFF"/>
        <w:spacing w:line="276" w:lineRule="auto"/>
        <w:jc w:val="both"/>
        <w:rPr>
          <w:rFonts w:ascii="Arial" w:hAnsi="Arial" w:cs="Arial"/>
          <w:sz w:val="22"/>
          <w:szCs w:val="22"/>
        </w:rPr>
      </w:pPr>
      <w:r w:rsidRPr="00BC0D64">
        <w:rPr>
          <w:rFonts w:ascii="Arial" w:hAnsi="Arial" w:cs="Arial"/>
          <w:sz w:val="22"/>
          <w:szCs w:val="22"/>
        </w:rPr>
        <w:t xml:space="preserve">De la revisión y análisis a la documentación e información proporcionada, se conoció que en el apartado </w:t>
      </w:r>
      <w:r w:rsidRPr="00BC0D64">
        <w:rPr>
          <w:rFonts w:ascii="Arial" w:hAnsi="Arial" w:cs="Arial"/>
          <w:b/>
          <w:i/>
          <w:sz w:val="22"/>
          <w:szCs w:val="22"/>
        </w:rPr>
        <w:t>“</w:t>
      </w:r>
      <w:r w:rsidRPr="00A127DF">
        <w:rPr>
          <w:rFonts w:ascii="Arial" w:hAnsi="Arial" w:cs="Arial"/>
          <w:bCs/>
          <w:i/>
          <w:sz w:val="22"/>
          <w:szCs w:val="22"/>
        </w:rPr>
        <w:t>BALANCE PRESUPUESTARIO – LDF, al 31 de diciembre del 2021.- V BALANCE PRESUPUESTARIO DE RECURSOS DISPONIBLES”</w:t>
      </w:r>
      <w:r w:rsidRPr="00A127DF">
        <w:rPr>
          <w:rFonts w:ascii="Arial" w:hAnsi="Arial" w:cs="Arial"/>
          <w:bCs/>
          <w:sz w:val="22"/>
          <w:szCs w:val="22"/>
        </w:rPr>
        <w:t>, bajo el momento contable del devengado</w:t>
      </w:r>
      <w:r w:rsidRPr="00BC0D64">
        <w:rPr>
          <w:rFonts w:ascii="Arial" w:hAnsi="Arial" w:cs="Arial"/>
          <w:sz w:val="22"/>
          <w:szCs w:val="22"/>
        </w:rPr>
        <w:t xml:space="preserve"> refleja un importe de menos </w:t>
      </w:r>
      <w:r w:rsidRPr="00BC0D64">
        <w:rPr>
          <w:rFonts w:ascii="Arial" w:hAnsi="Arial" w:cs="Arial"/>
          <w:bCs/>
          <w:sz w:val="22"/>
          <w:szCs w:val="22"/>
        </w:rPr>
        <w:t>8 millones 524 mil 445 pesos,</w:t>
      </w:r>
      <w:r w:rsidRPr="00BC0D64">
        <w:rPr>
          <w:rFonts w:ascii="Arial" w:hAnsi="Arial" w:cs="Arial"/>
          <w:sz w:val="22"/>
          <w:szCs w:val="22"/>
        </w:rPr>
        <w:t xml:space="preserve"> lo anterior deriva en que la Entidad Fiscalizada, no cumplió con el Principio de Sostenibilidad Presupuestal, toda vez que el momento contable del devengado al 31 de diciembre de 2021, debería ser mayor o igual a cero.</w:t>
      </w:r>
    </w:p>
    <w:p w14:paraId="60801879" w14:textId="77777777" w:rsidR="00702A42" w:rsidRPr="00BC0D64" w:rsidRDefault="00702A42" w:rsidP="00293214">
      <w:pPr>
        <w:pStyle w:val="Forma"/>
        <w:shd w:val="clear" w:color="auto" w:fill="FFFFFF"/>
        <w:spacing w:line="276" w:lineRule="auto"/>
        <w:jc w:val="both"/>
        <w:rPr>
          <w:rFonts w:ascii="Arial" w:hAnsi="Arial" w:cs="Arial"/>
          <w:sz w:val="22"/>
          <w:szCs w:val="22"/>
        </w:rPr>
      </w:pPr>
    </w:p>
    <w:p w14:paraId="038B9F66" w14:textId="1F665ADE" w:rsidR="00702A42" w:rsidRPr="00BC0D64" w:rsidRDefault="003742F9" w:rsidP="00293214">
      <w:pPr>
        <w:pStyle w:val="Forma"/>
        <w:shd w:val="clear" w:color="auto" w:fill="FFFFFF"/>
        <w:spacing w:line="276" w:lineRule="auto"/>
        <w:jc w:val="both"/>
        <w:rPr>
          <w:rFonts w:ascii="Arial" w:hAnsi="Arial" w:cs="Arial"/>
          <w:sz w:val="22"/>
          <w:szCs w:val="22"/>
        </w:rPr>
      </w:pPr>
      <w:r w:rsidRPr="00BC0D64">
        <w:rPr>
          <w:rFonts w:ascii="Arial" w:hAnsi="Arial" w:cs="Arial"/>
          <w:b/>
          <w:bCs/>
          <w:sz w:val="22"/>
          <w:szCs w:val="22"/>
        </w:rPr>
        <w:t>Disposiciones Jurídicas Infringidas</w:t>
      </w:r>
    </w:p>
    <w:p w14:paraId="1E6EB21F" w14:textId="77777777" w:rsidR="00702A42" w:rsidRPr="00BC0D64" w:rsidRDefault="00702A42" w:rsidP="00293214">
      <w:pPr>
        <w:pStyle w:val="Forma"/>
        <w:shd w:val="clear" w:color="auto" w:fill="FFFFFF"/>
        <w:spacing w:line="276" w:lineRule="auto"/>
        <w:jc w:val="both"/>
        <w:rPr>
          <w:rFonts w:ascii="Arial" w:hAnsi="Arial" w:cs="Arial"/>
          <w:sz w:val="22"/>
          <w:szCs w:val="22"/>
        </w:rPr>
      </w:pPr>
    </w:p>
    <w:p w14:paraId="17B41B9A" w14:textId="77777777" w:rsidR="00702A42" w:rsidRPr="00BC0D64" w:rsidRDefault="00702A42" w:rsidP="00293214">
      <w:pPr>
        <w:rPr>
          <w:rFonts w:eastAsiaTheme="minorHAnsi" w:cs="Arial"/>
          <w:b/>
          <w:bCs/>
          <w:szCs w:val="22"/>
          <w:lang w:eastAsia="en-US"/>
        </w:rPr>
      </w:pPr>
      <w:r w:rsidRPr="00BC0D64">
        <w:rPr>
          <w:rFonts w:cs="Arial"/>
          <w:bCs/>
          <w:szCs w:val="22"/>
        </w:rPr>
        <w:t>Artículos 6, 7, 15 y 19 de Ley de Disciplina Financiera de las Entidades Federativas y los Municipios,</w:t>
      </w:r>
      <w:r w:rsidRPr="00BC0D64">
        <w:rPr>
          <w:rFonts w:cs="Arial"/>
          <w:szCs w:val="22"/>
        </w:rPr>
        <w:t xml:space="preserve"> en correlación con el artículo 4 de la misma Ley.</w:t>
      </w:r>
    </w:p>
    <w:p w14:paraId="2D37CE06" w14:textId="77777777" w:rsidR="00702A42" w:rsidRPr="00BC0D64" w:rsidRDefault="00702A42" w:rsidP="00293214">
      <w:pPr>
        <w:pStyle w:val="Forma"/>
        <w:shd w:val="clear" w:color="auto" w:fill="FFFFFF"/>
        <w:spacing w:line="276" w:lineRule="auto"/>
        <w:jc w:val="both"/>
        <w:rPr>
          <w:rFonts w:ascii="Arial" w:hAnsi="Arial" w:cs="Arial"/>
          <w:sz w:val="22"/>
          <w:szCs w:val="22"/>
          <w:lang w:val="es-ES"/>
        </w:rPr>
      </w:pPr>
    </w:p>
    <w:p w14:paraId="258DA39A" w14:textId="2A86CDF2" w:rsidR="008F6FD6" w:rsidRPr="00BC0D64" w:rsidRDefault="008F6FD6" w:rsidP="00293214">
      <w:pPr>
        <w:rPr>
          <w:rFonts w:cs="Arial"/>
          <w:i/>
          <w:lang w:eastAsia="es-MX"/>
        </w:rPr>
      </w:pPr>
      <w:r w:rsidRPr="00BC0D64">
        <w:rPr>
          <w:rFonts w:cs="Arial"/>
          <w:szCs w:val="22"/>
        </w:rPr>
        <w:t xml:space="preserve">En el desarrollo de la reunión de trabajo, en la cual se levantó Acta Circunstanciada de fecha 28 de noviembre de 2022, la Entidad Fiscalizada manifestó lo siguiente: </w:t>
      </w:r>
      <w:r w:rsidRPr="00BC0D64">
        <w:rPr>
          <w:rFonts w:cs="Arial"/>
          <w:i/>
          <w:lang w:eastAsia="es-MX"/>
        </w:rPr>
        <w:t>“Para solventar este resultado, hemos de manifestar que como consta en los estados financieros trimestrales del municipio, el balance presupuestario negativo obedece principalmente a pasivos generados y registrados por la administración anterior que fueron reportados en el Dictamen de Entrega-Recepción con un saldo del 31 de agosto de 2021, por lo que se está tratando de solventar este hecho, lo cual será logrado seguramente al final del presente ejercicio o en su efecto será disminuido en lo mayor posible”.</w:t>
      </w:r>
    </w:p>
    <w:p w14:paraId="3DA298FB" w14:textId="4DED5974" w:rsidR="008F6FD6" w:rsidRPr="00BC0D64" w:rsidRDefault="008F6FD6" w:rsidP="00293214">
      <w:pPr>
        <w:autoSpaceDE w:val="0"/>
        <w:autoSpaceDN w:val="0"/>
        <w:adjustRightInd w:val="0"/>
        <w:rPr>
          <w:rFonts w:cs="Arial"/>
          <w:szCs w:val="22"/>
        </w:rPr>
      </w:pPr>
    </w:p>
    <w:p w14:paraId="21D3AAD4" w14:textId="77777777" w:rsidR="008F6FD6" w:rsidRPr="00BC0D64" w:rsidRDefault="008F6FD6" w:rsidP="00293214">
      <w:pPr>
        <w:rPr>
          <w:rFonts w:eastAsia="Arial Unicode MS" w:cs="Arial"/>
          <w:bCs/>
          <w:lang w:eastAsia="es-MX"/>
        </w:rPr>
      </w:pPr>
      <w:r w:rsidRPr="00BC0D64">
        <w:rPr>
          <w:rFonts w:cs="Arial"/>
          <w:iCs/>
        </w:rPr>
        <w:t>Asimismo</w:t>
      </w:r>
      <w:r w:rsidRPr="00BC0D64">
        <w:rPr>
          <w:rFonts w:cs="Arial"/>
          <w:i/>
        </w:rPr>
        <w:t xml:space="preserve">, </w:t>
      </w:r>
      <w:r w:rsidRPr="00BC0D64">
        <w:rPr>
          <w:rFonts w:cs="Arial"/>
          <w:iCs/>
        </w:rPr>
        <w:t xml:space="preserve">mediante escrito de fecha 28 de noviembre de 2022, los servidores públicos que estuvieron en funciones durante el ejercicio fiscal sujeto a revisión, manifestaron lo siguiente: </w:t>
      </w:r>
      <w:r w:rsidRPr="00BC0D64">
        <w:rPr>
          <w:rFonts w:eastAsia="Arial Unicode MS" w:cs="Arial"/>
          <w:bCs/>
          <w:lang w:eastAsia="es-MX"/>
        </w:rPr>
        <w:t>no entregaron evidencia documental.</w:t>
      </w:r>
    </w:p>
    <w:p w14:paraId="504D5218" w14:textId="77777777" w:rsidR="008F6FD6" w:rsidRPr="00BC0D64" w:rsidRDefault="008F6FD6" w:rsidP="00293214">
      <w:pPr>
        <w:pStyle w:val="Standard"/>
        <w:spacing w:after="0"/>
        <w:jc w:val="both"/>
        <w:rPr>
          <w:rFonts w:ascii="Arial" w:hAnsi="Arial" w:cs="Arial"/>
          <w:iCs/>
        </w:rPr>
      </w:pPr>
    </w:p>
    <w:p w14:paraId="41533CB5" w14:textId="4147F72F" w:rsidR="008F6FD6" w:rsidRPr="00BC0D64" w:rsidRDefault="008F6FD6" w:rsidP="00293214">
      <w:pPr>
        <w:tabs>
          <w:tab w:val="left" w:pos="10022"/>
        </w:tabs>
        <w:rPr>
          <w:rFonts w:cs="Arial"/>
          <w:b/>
          <w:bCs/>
          <w:color w:val="000000"/>
          <w:szCs w:val="22"/>
        </w:rPr>
      </w:pPr>
      <w:r w:rsidRPr="00BC0D64">
        <w:rPr>
          <w:rFonts w:cs="Arial"/>
          <w:color w:val="000000"/>
          <w:szCs w:val="22"/>
        </w:rPr>
        <w:lastRenderedPageBreak/>
        <w:t xml:space="preserve">Los elementos proporcionados y las manifestaciones señaladas con anterioridad no justificaron la inconsistencia que guarda relación con el hecho observado, por lo que </w:t>
      </w:r>
      <w:r w:rsidRPr="00BC0D64">
        <w:rPr>
          <w:rFonts w:cs="Arial"/>
          <w:b/>
          <w:bCs/>
          <w:color w:val="000000"/>
          <w:szCs w:val="22"/>
        </w:rPr>
        <w:t>se ratifica</w:t>
      </w:r>
      <w:r w:rsidRPr="00BC0D64">
        <w:rPr>
          <w:rFonts w:cs="Arial"/>
          <w:color w:val="000000"/>
          <w:szCs w:val="22"/>
        </w:rPr>
        <w:t xml:space="preserve"> </w:t>
      </w:r>
      <w:r w:rsidRPr="00BC0D64">
        <w:rPr>
          <w:rFonts w:cs="Arial"/>
          <w:b/>
          <w:bCs/>
          <w:color w:val="000000"/>
          <w:szCs w:val="22"/>
        </w:rPr>
        <w:t>la Observación Preliminar número</w:t>
      </w:r>
      <w:r w:rsidRPr="00BC0D64">
        <w:rPr>
          <w:rFonts w:cs="Arial"/>
          <w:color w:val="000000"/>
          <w:szCs w:val="22"/>
        </w:rPr>
        <w:t xml:space="preserve"> </w:t>
      </w:r>
      <w:r w:rsidRPr="00BC0D64">
        <w:rPr>
          <w:rFonts w:cs="Arial"/>
          <w:b/>
          <w:bCs/>
          <w:color w:val="000000"/>
          <w:szCs w:val="22"/>
        </w:rPr>
        <w:t>02.</w:t>
      </w:r>
    </w:p>
    <w:p w14:paraId="314CCB5D" w14:textId="77777777" w:rsidR="008F6FD6" w:rsidRPr="00BC0D64" w:rsidRDefault="008F6FD6" w:rsidP="00293214">
      <w:pPr>
        <w:tabs>
          <w:tab w:val="left" w:pos="10022"/>
        </w:tabs>
        <w:rPr>
          <w:rFonts w:cs="Arial"/>
          <w:b/>
          <w:bCs/>
          <w:color w:val="000000"/>
          <w:szCs w:val="22"/>
        </w:rPr>
      </w:pPr>
    </w:p>
    <w:p w14:paraId="6A227FEE" w14:textId="7910FFE2" w:rsidR="008F6FD6" w:rsidRPr="00BC0D64" w:rsidRDefault="008F6FD6" w:rsidP="00293214">
      <w:pPr>
        <w:rPr>
          <w:rFonts w:cs="Arial"/>
          <w:color w:val="00000A"/>
          <w:szCs w:val="22"/>
        </w:rPr>
      </w:pPr>
      <w:r w:rsidRPr="00BC0D64">
        <w:rPr>
          <w:rFonts w:cs="Arial"/>
          <w:color w:val="00000A"/>
          <w:szCs w:val="22"/>
        </w:rPr>
        <w:t>Derivado de lo anterior, conforme a las pruebas ofertadas s</w:t>
      </w:r>
      <w:r w:rsidR="0062602E" w:rsidRPr="00BC0D64">
        <w:rPr>
          <w:rFonts w:cs="Arial"/>
          <w:color w:val="00000A"/>
          <w:szCs w:val="22"/>
        </w:rPr>
        <w:t xml:space="preserve">e determinó elaborar el Informe </w:t>
      </w:r>
      <w:r w:rsidRPr="00BC0D64">
        <w:rPr>
          <w:rFonts w:cs="Arial"/>
          <w:color w:val="00000A"/>
          <w:szCs w:val="22"/>
        </w:rPr>
        <w:t xml:space="preserve">de Presuntas Irregularidades número </w:t>
      </w:r>
      <w:r w:rsidRPr="00BC0D64">
        <w:rPr>
          <w:rFonts w:cs="Arial"/>
          <w:b/>
          <w:bCs/>
          <w:color w:val="00000A"/>
          <w:szCs w:val="22"/>
        </w:rPr>
        <w:t>ASM/AEFM/DGPF/CP2021/</w:t>
      </w:r>
      <w:r w:rsidR="004C062B">
        <w:rPr>
          <w:rFonts w:cs="Arial"/>
          <w:b/>
          <w:bCs/>
          <w:color w:val="00000A"/>
          <w:szCs w:val="22"/>
        </w:rPr>
        <w:t>AF</w:t>
      </w:r>
      <w:r w:rsidRPr="00BC0D64">
        <w:rPr>
          <w:rFonts w:cs="Arial"/>
          <w:b/>
          <w:bCs/>
          <w:color w:val="00000A"/>
          <w:szCs w:val="22"/>
        </w:rPr>
        <w:t>/M097/232/IPI-02</w:t>
      </w:r>
      <w:r w:rsidRPr="00BC0D64">
        <w:rPr>
          <w:rFonts w:cs="Arial"/>
          <w:color w:val="00000A"/>
          <w:szCs w:val="22"/>
        </w:rPr>
        <w:t>, el cual será turnado a la Autoridad Investigadora de este Órgano Técnico, para su trámite correspondiente.</w:t>
      </w:r>
    </w:p>
    <w:p w14:paraId="2D6CA80E" w14:textId="77777777" w:rsidR="00623BB8" w:rsidRPr="00BC0D64" w:rsidRDefault="00623BB8" w:rsidP="00293214">
      <w:pPr>
        <w:pStyle w:val="Forma"/>
        <w:shd w:val="clear" w:color="auto" w:fill="FFFFFF"/>
        <w:spacing w:line="276" w:lineRule="auto"/>
        <w:ind w:left="57"/>
        <w:jc w:val="both"/>
        <w:rPr>
          <w:rFonts w:ascii="Arial" w:eastAsia="Arial" w:hAnsi="Arial" w:cs="Arial"/>
          <w:spacing w:val="1"/>
          <w:sz w:val="22"/>
          <w:szCs w:val="22"/>
          <w:lang w:eastAsia="es-MX"/>
        </w:rPr>
      </w:pPr>
    </w:p>
    <w:p w14:paraId="26D0481D" w14:textId="08565D11" w:rsidR="001E4E3F" w:rsidRPr="00BC0D64" w:rsidRDefault="00E24F8A" w:rsidP="00293214">
      <w:pPr>
        <w:ind w:left="57"/>
        <w:rPr>
          <w:rFonts w:cs="Arial"/>
          <w:b/>
          <w:bCs/>
          <w:szCs w:val="22"/>
        </w:rPr>
      </w:pPr>
      <w:r w:rsidRPr="00BC0D64">
        <w:rPr>
          <w:rFonts w:cs="Arial"/>
          <w:b/>
          <w:szCs w:val="22"/>
        </w:rPr>
        <w:t>1.4</w:t>
      </w:r>
      <w:r w:rsidR="001E4E3F" w:rsidRPr="00BC0D64">
        <w:rPr>
          <w:rFonts w:cs="Arial"/>
          <w:b/>
          <w:szCs w:val="22"/>
        </w:rPr>
        <w:t xml:space="preserve">. Observación Preliminar número </w:t>
      </w:r>
      <w:r w:rsidR="001E4E3F" w:rsidRPr="00BC0D64">
        <w:rPr>
          <w:rFonts w:cs="Arial"/>
          <w:b/>
          <w:bCs/>
          <w:szCs w:val="22"/>
        </w:rPr>
        <w:t>03</w:t>
      </w:r>
    </w:p>
    <w:p w14:paraId="3C77EF3D" w14:textId="77777777" w:rsidR="00623BB8" w:rsidRPr="00BC0D64" w:rsidRDefault="00623BB8" w:rsidP="00293214">
      <w:pPr>
        <w:pStyle w:val="Forma"/>
        <w:shd w:val="clear" w:color="auto" w:fill="FFFFFF"/>
        <w:spacing w:line="276" w:lineRule="auto"/>
        <w:ind w:left="57"/>
        <w:jc w:val="both"/>
        <w:rPr>
          <w:rFonts w:ascii="Arial" w:eastAsia="Arial" w:hAnsi="Arial" w:cs="Arial"/>
          <w:spacing w:val="1"/>
          <w:sz w:val="22"/>
          <w:szCs w:val="22"/>
          <w:lang w:eastAsia="es-MX"/>
        </w:rPr>
      </w:pPr>
    </w:p>
    <w:p w14:paraId="1CC10589" w14:textId="3C1DF875" w:rsidR="007C6D01" w:rsidRPr="00BC0D64" w:rsidRDefault="007C6D01" w:rsidP="00293214">
      <w:pPr>
        <w:pStyle w:val="Prrafodelista"/>
        <w:ind w:left="0"/>
        <w:rPr>
          <w:rFonts w:ascii="Arial" w:eastAsiaTheme="minorHAnsi" w:hAnsi="Arial" w:cs="Arial"/>
          <w:b/>
          <w:bCs/>
          <w:szCs w:val="22"/>
          <w:lang w:eastAsia="en-US"/>
        </w:rPr>
      </w:pPr>
      <w:r w:rsidRPr="00BC0D64">
        <w:rPr>
          <w:rFonts w:ascii="Arial" w:hAnsi="Arial" w:cs="Arial"/>
          <w:szCs w:val="22"/>
          <w:lang w:val="es-ES"/>
        </w:rPr>
        <w:t>Del análisis y revisión a la documentación e información proporcionada para el desarrollo de la fiscalización, por la Entidad Fiscalizada</w:t>
      </w:r>
      <w:r w:rsidRPr="00BC0D64">
        <w:rPr>
          <w:rFonts w:ascii="Arial" w:hAnsi="Arial" w:cs="Arial"/>
          <w:szCs w:val="22"/>
        </w:rPr>
        <w:t>, se conoció que existen saldos al 31 de diciembre de 2021, de la cuenta contable 1123 Deudores Diversos por Cobrar a Corto Plazo pendientes de recuperación, por un importe de 152 mil 32 pesos</w:t>
      </w:r>
      <w:r w:rsidRPr="00BC0D64">
        <w:rPr>
          <w:rFonts w:ascii="Arial" w:hAnsi="Arial" w:cs="Arial"/>
          <w:bCs/>
          <w:szCs w:val="22"/>
        </w:rPr>
        <w:t>.</w:t>
      </w:r>
    </w:p>
    <w:p w14:paraId="6021BBF1" w14:textId="77777777" w:rsidR="00623BB8" w:rsidRPr="00BC0D64" w:rsidRDefault="00623BB8" w:rsidP="00293214">
      <w:pPr>
        <w:pStyle w:val="Forma"/>
        <w:shd w:val="clear" w:color="auto" w:fill="FFFFFF"/>
        <w:spacing w:line="276" w:lineRule="auto"/>
        <w:ind w:left="57"/>
        <w:jc w:val="both"/>
        <w:rPr>
          <w:rFonts w:ascii="Arial" w:eastAsia="Arial" w:hAnsi="Arial" w:cs="Arial"/>
          <w:spacing w:val="1"/>
          <w:sz w:val="22"/>
          <w:szCs w:val="22"/>
          <w:lang w:eastAsia="es-MX"/>
        </w:rPr>
      </w:pPr>
    </w:p>
    <w:p w14:paraId="47B31ED6" w14:textId="30657C9F" w:rsidR="00E9341A" w:rsidRPr="00BC0D64" w:rsidRDefault="003742F9" w:rsidP="00293214">
      <w:pPr>
        <w:pStyle w:val="Forma"/>
        <w:shd w:val="clear" w:color="auto" w:fill="FFFFFF"/>
        <w:spacing w:line="276" w:lineRule="auto"/>
        <w:jc w:val="both"/>
        <w:rPr>
          <w:rFonts w:ascii="Arial" w:hAnsi="Arial" w:cs="Arial"/>
          <w:sz w:val="22"/>
          <w:szCs w:val="22"/>
        </w:rPr>
      </w:pPr>
      <w:r w:rsidRPr="00BC0D64">
        <w:rPr>
          <w:rFonts w:ascii="Arial" w:hAnsi="Arial" w:cs="Arial"/>
          <w:b/>
          <w:bCs/>
          <w:sz w:val="22"/>
          <w:szCs w:val="22"/>
        </w:rPr>
        <w:t>Disposiciones Jurídicas Infringidas</w:t>
      </w:r>
    </w:p>
    <w:p w14:paraId="46CD2938" w14:textId="77777777" w:rsidR="00E9341A" w:rsidRPr="00BC0D64" w:rsidRDefault="00E9341A" w:rsidP="00293214">
      <w:pPr>
        <w:pStyle w:val="Forma"/>
        <w:shd w:val="clear" w:color="auto" w:fill="FFFFFF"/>
        <w:spacing w:line="276" w:lineRule="auto"/>
        <w:ind w:left="57"/>
        <w:jc w:val="both"/>
        <w:rPr>
          <w:rFonts w:ascii="Arial" w:eastAsia="Arial" w:hAnsi="Arial" w:cs="Arial"/>
          <w:spacing w:val="1"/>
          <w:sz w:val="22"/>
          <w:szCs w:val="22"/>
          <w:lang w:eastAsia="es-MX"/>
        </w:rPr>
      </w:pPr>
    </w:p>
    <w:p w14:paraId="103F4781" w14:textId="7A9A1EBD" w:rsidR="007C6D01" w:rsidRPr="00BC0D64" w:rsidRDefault="007C6D01" w:rsidP="00293214">
      <w:pPr>
        <w:pStyle w:val="Forma"/>
        <w:shd w:val="clear" w:color="auto" w:fill="FFFFFF"/>
        <w:spacing w:line="276" w:lineRule="auto"/>
        <w:jc w:val="both"/>
        <w:rPr>
          <w:rFonts w:ascii="Arial" w:hAnsi="Arial" w:cs="Arial"/>
          <w:sz w:val="22"/>
          <w:szCs w:val="22"/>
        </w:rPr>
      </w:pPr>
      <w:r w:rsidRPr="00BC0D64">
        <w:rPr>
          <w:rFonts w:ascii="Arial" w:hAnsi="Arial" w:cs="Arial"/>
          <w:bCs/>
          <w:sz w:val="22"/>
          <w:szCs w:val="22"/>
        </w:rPr>
        <w:t>Artículos 36 y 44 de la Ley General de Contabilidad Gubernamental; 24 y 82 párrafo primero de la Ley de Planeación Hacendaria, Presupuesto, Gasto Público y Contabilidad Gubernamental del Estado de Michoacán de Ocampo.</w:t>
      </w:r>
    </w:p>
    <w:p w14:paraId="09340304" w14:textId="77777777" w:rsidR="00623BB8" w:rsidRPr="00BC0D64" w:rsidRDefault="00623BB8" w:rsidP="00293214">
      <w:pPr>
        <w:pStyle w:val="Forma"/>
        <w:shd w:val="clear" w:color="auto" w:fill="FFFFFF"/>
        <w:spacing w:line="276" w:lineRule="auto"/>
        <w:ind w:left="57"/>
        <w:jc w:val="both"/>
        <w:rPr>
          <w:rFonts w:ascii="Arial" w:eastAsia="Arial" w:hAnsi="Arial" w:cs="Arial"/>
          <w:spacing w:val="1"/>
          <w:sz w:val="22"/>
          <w:szCs w:val="22"/>
          <w:lang w:eastAsia="es-MX"/>
        </w:rPr>
      </w:pPr>
    </w:p>
    <w:p w14:paraId="051A6416" w14:textId="6D405C02" w:rsidR="0062602E" w:rsidRPr="00BC0D64" w:rsidRDefault="0062602E" w:rsidP="00293214">
      <w:pPr>
        <w:rPr>
          <w:rFonts w:cs="Arial"/>
          <w:i/>
          <w:lang w:eastAsia="es-MX"/>
        </w:rPr>
      </w:pPr>
      <w:r w:rsidRPr="00BC0D64">
        <w:rPr>
          <w:rFonts w:cs="Arial"/>
          <w:szCs w:val="22"/>
        </w:rPr>
        <w:t xml:space="preserve">En el desarrollo de la reunión de trabajo, en la cual se levantó Acta Circunstanciada de fecha 28 de noviembre de 2022, la Entidad Fiscalizada manifestó lo siguiente: </w:t>
      </w:r>
      <w:r w:rsidRPr="00BC0D64">
        <w:rPr>
          <w:rFonts w:cs="Arial"/>
          <w:i/>
          <w:lang w:eastAsia="es-MX"/>
        </w:rPr>
        <w:t>“Para solventar este resultado, hemos de manifestar que, con corte al tercer trimestre de 2022, dichos saldos han sido cancelados por el cobro a los deudores… ”</w:t>
      </w:r>
    </w:p>
    <w:p w14:paraId="607E5317" w14:textId="77777777" w:rsidR="0062602E" w:rsidRPr="00BC0D64" w:rsidRDefault="0062602E" w:rsidP="00293214">
      <w:pPr>
        <w:rPr>
          <w:rFonts w:cs="Arial"/>
          <w:szCs w:val="22"/>
        </w:rPr>
      </w:pPr>
    </w:p>
    <w:p w14:paraId="7F843196" w14:textId="77777777" w:rsidR="0062602E" w:rsidRPr="00BC0D64" w:rsidRDefault="0062602E" w:rsidP="00293214">
      <w:pPr>
        <w:rPr>
          <w:rFonts w:eastAsia="Arial Unicode MS" w:cs="Arial"/>
          <w:bCs/>
          <w:lang w:eastAsia="es-MX"/>
        </w:rPr>
      </w:pPr>
      <w:r w:rsidRPr="00BC0D64">
        <w:rPr>
          <w:rFonts w:cs="Arial"/>
          <w:iCs/>
          <w:szCs w:val="22"/>
        </w:rPr>
        <w:t>Asimismo</w:t>
      </w:r>
      <w:r w:rsidRPr="00BC0D64">
        <w:rPr>
          <w:rFonts w:cs="Arial"/>
          <w:i/>
          <w:szCs w:val="22"/>
        </w:rPr>
        <w:t xml:space="preserve">, </w:t>
      </w:r>
      <w:r w:rsidRPr="00BC0D64">
        <w:rPr>
          <w:rFonts w:cs="Arial"/>
          <w:iCs/>
          <w:szCs w:val="22"/>
        </w:rPr>
        <w:t xml:space="preserve">mediante escrito de fecha 28 de noviembre de 2022, los servidores públicos que estuvieron en funciones durante el ejercicio fiscal sujeto a revisión, manifestaron lo siguiente: </w:t>
      </w:r>
      <w:r w:rsidRPr="00BC0D64">
        <w:rPr>
          <w:rFonts w:eastAsia="Arial Unicode MS" w:cs="Arial"/>
          <w:bCs/>
          <w:lang w:eastAsia="es-MX"/>
        </w:rPr>
        <w:t>no entregaron evidencia documental.</w:t>
      </w:r>
    </w:p>
    <w:p w14:paraId="53CB9CA3" w14:textId="77777777" w:rsidR="0062602E" w:rsidRPr="00BC0D64" w:rsidRDefault="0062602E" w:rsidP="00293214">
      <w:pPr>
        <w:rPr>
          <w:rFonts w:cs="Arial"/>
          <w:szCs w:val="22"/>
        </w:rPr>
      </w:pPr>
      <w:r w:rsidRPr="00BC0D64">
        <w:rPr>
          <w:rFonts w:cs="Arial"/>
          <w:szCs w:val="22"/>
        </w:rPr>
        <w:t xml:space="preserve"> </w:t>
      </w:r>
    </w:p>
    <w:p w14:paraId="45450BEE" w14:textId="412C0C91" w:rsidR="0062602E" w:rsidRPr="00BC0D64" w:rsidRDefault="0062602E" w:rsidP="00293214">
      <w:pPr>
        <w:tabs>
          <w:tab w:val="left" w:pos="10022"/>
        </w:tabs>
        <w:rPr>
          <w:rFonts w:cs="Arial"/>
          <w:b/>
          <w:bCs/>
          <w:color w:val="000000"/>
          <w:szCs w:val="22"/>
        </w:rPr>
      </w:pPr>
      <w:r w:rsidRPr="00BC0D64">
        <w:rPr>
          <w:rFonts w:cs="Arial"/>
          <w:color w:val="000000"/>
          <w:szCs w:val="22"/>
        </w:rPr>
        <w:t xml:space="preserve">Los elementos proporcionados y las manifestaciones señaladas con anterioridad justificaron la inconsistencia que guarda relación con el hecho observado, por lo que </w:t>
      </w:r>
      <w:r w:rsidRPr="00BC0D64">
        <w:rPr>
          <w:rFonts w:cs="Arial"/>
          <w:b/>
          <w:bCs/>
          <w:color w:val="000000"/>
          <w:szCs w:val="22"/>
        </w:rPr>
        <w:t>se elimina</w:t>
      </w:r>
      <w:r w:rsidRPr="00BC0D64">
        <w:rPr>
          <w:rFonts w:cs="Arial"/>
          <w:color w:val="000000"/>
          <w:szCs w:val="22"/>
        </w:rPr>
        <w:t xml:space="preserve"> </w:t>
      </w:r>
      <w:r w:rsidRPr="00BC0D64">
        <w:rPr>
          <w:rFonts w:cs="Arial"/>
          <w:b/>
          <w:bCs/>
          <w:color w:val="000000"/>
          <w:szCs w:val="22"/>
        </w:rPr>
        <w:t>la Observación Preliminar número</w:t>
      </w:r>
      <w:r w:rsidRPr="00BC0D64">
        <w:rPr>
          <w:rFonts w:cs="Arial"/>
          <w:color w:val="000000"/>
          <w:szCs w:val="22"/>
        </w:rPr>
        <w:t xml:space="preserve"> </w:t>
      </w:r>
      <w:r w:rsidRPr="00BC0D64">
        <w:rPr>
          <w:rFonts w:cs="Arial"/>
          <w:b/>
          <w:bCs/>
          <w:color w:val="000000"/>
          <w:szCs w:val="22"/>
        </w:rPr>
        <w:t>03.</w:t>
      </w:r>
    </w:p>
    <w:p w14:paraId="47D4CAC4" w14:textId="77777777" w:rsidR="00C73699" w:rsidRPr="00BC0D64" w:rsidRDefault="00C73699" w:rsidP="00293214">
      <w:pPr>
        <w:rPr>
          <w:rFonts w:cs="Arial"/>
          <w:color w:val="000000"/>
          <w:szCs w:val="22"/>
        </w:rPr>
      </w:pPr>
    </w:p>
    <w:p w14:paraId="24FEB0D1" w14:textId="0FA439C4" w:rsidR="00E24F8A" w:rsidRPr="00BC0D64" w:rsidRDefault="00E24F8A" w:rsidP="00E24F8A">
      <w:pPr>
        <w:tabs>
          <w:tab w:val="left" w:pos="10022"/>
        </w:tabs>
        <w:rPr>
          <w:rFonts w:cs="Arial"/>
          <w:b/>
          <w:bCs/>
          <w:color w:val="000000"/>
          <w:szCs w:val="22"/>
        </w:rPr>
      </w:pPr>
      <w:r w:rsidRPr="00BC0D64">
        <w:rPr>
          <w:rFonts w:cs="Arial"/>
          <w:b/>
          <w:bCs/>
          <w:szCs w:val="22"/>
        </w:rPr>
        <w:t xml:space="preserve">1.5. </w:t>
      </w:r>
      <w:r w:rsidRPr="00BC0D64">
        <w:rPr>
          <w:rFonts w:cs="Arial"/>
          <w:szCs w:val="22"/>
        </w:rPr>
        <w:t>Se ide</w:t>
      </w:r>
      <w:r w:rsidR="00BC0D64">
        <w:rPr>
          <w:rFonts w:cs="Arial"/>
          <w:szCs w:val="22"/>
        </w:rPr>
        <w:t>ntificaron</w:t>
      </w:r>
      <w:r w:rsidRPr="00BC0D64">
        <w:rPr>
          <w:rFonts w:cs="Arial"/>
          <w:szCs w:val="22"/>
        </w:rPr>
        <w:t xml:space="preserve"> los saldos y movimientos, que integran el Estado de Situación Financiera, en las cuentas de Anticipo a Proveedores por Adquisición de Bienes y Prestación de Servicios a Corto Plazo, Anticipo a Proveedores por Adquisición de Bienes </w:t>
      </w:r>
      <w:r w:rsidRPr="00BC0D64">
        <w:rPr>
          <w:rFonts w:cs="Arial"/>
          <w:szCs w:val="22"/>
        </w:rPr>
        <w:lastRenderedPageBreak/>
        <w:t>Inmuebles y Muebles a Corto Plazo, Anticipo a Proveedores por Adquisición de Bienes Intangibles a Corto Plazo, Anticipo a Contratistas por Obras Públicas a Corto Plazo y Otros Derechos a Recibir Bienes o Servicios a Corto Plazo, con la finalidad de verificar que dichos anticipos se hayan otorgado para obtener bienes o servicios previstos por la Entidad Fiscalizada, por lo que no se detectaron irregularidades que presuman la existencia de conductas, actos, hechos u omisiones; en consecuencia, no se generaron observaciones preliminares.</w:t>
      </w:r>
    </w:p>
    <w:p w14:paraId="62FAD1ED" w14:textId="77777777" w:rsidR="00E24F8A" w:rsidRPr="00BC0D64" w:rsidRDefault="00E24F8A" w:rsidP="00293214">
      <w:pPr>
        <w:rPr>
          <w:rFonts w:cs="Arial"/>
          <w:color w:val="000000"/>
          <w:szCs w:val="22"/>
        </w:rPr>
      </w:pPr>
    </w:p>
    <w:p w14:paraId="7F695BBF" w14:textId="77777777" w:rsidR="00C73699" w:rsidRPr="00BC0D64" w:rsidRDefault="00C73699" w:rsidP="00293214">
      <w:pPr>
        <w:pStyle w:val="Ttulo1"/>
        <w:shd w:val="clear" w:color="auto" w:fill="auto"/>
        <w:jc w:val="both"/>
        <w:rPr>
          <w:rFonts w:eastAsiaTheme="minorHAnsi" w:cs="Arial"/>
          <w:color w:val="auto"/>
        </w:rPr>
      </w:pPr>
      <w:r w:rsidRPr="00BC0D64">
        <w:rPr>
          <w:rFonts w:eastAsiaTheme="minorHAnsi" w:cs="Arial"/>
          <w:color w:val="auto"/>
        </w:rPr>
        <w:t>SÍNTESIS DE LAS JUSTIFICACIONES Y ACLARACIONES</w:t>
      </w:r>
    </w:p>
    <w:p w14:paraId="594E2D83" w14:textId="77777777" w:rsidR="00253FBF" w:rsidRPr="00BC0D64" w:rsidRDefault="00253FBF" w:rsidP="00293214">
      <w:pPr>
        <w:rPr>
          <w:rFonts w:cs="Arial"/>
          <w:szCs w:val="22"/>
        </w:rPr>
      </w:pPr>
    </w:p>
    <w:p w14:paraId="5C9115D8" w14:textId="77777777" w:rsidR="0062602E" w:rsidRPr="00BC0D64" w:rsidRDefault="00C73699" w:rsidP="00293214">
      <w:pPr>
        <w:rPr>
          <w:rFonts w:cs="Arial"/>
          <w:lang w:val="es-ES_tradnl"/>
        </w:rPr>
      </w:pPr>
      <w:r w:rsidRPr="00BC0D64">
        <w:rPr>
          <w:rFonts w:cs="Arial"/>
          <w:szCs w:val="22"/>
        </w:rPr>
        <w:t xml:space="preserve">La documentación proporcionada por la Entidad Fiscalizada para aclarar o justificar los resultados y las observaciones, mediante </w:t>
      </w:r>
      <w:r w:rsidR="007A4081" w:rsidRPr="00BC0D64">
        <w:rPr>
          <w:rFonts w:eastAsia="Arial Unicode MS" w:cs="Arial"/>
          <w:b/>
          <w:szCs w:val="22"/>
          <w:lang w:val="es-MX" w:eastAsia="es-MX"/>
        </w:rPr>
        <w:t>escrito</w:t>
      </w:r>
      <w:r w:rsidR="0062602E" w:rsidRPr="00BC0D64">
        <w:rPr>
          <w:rFonts w:eastAsia="Arial Unicode MS" w:cs="Arial"/>
          <w:b/>
          <w:szCs w:val="22"/>
          <w:lang w:val="es-MX" w:eastAsia="es-MX"/>
        </w:rPr>
        <w:t xml:space="preserve"> </w:t>
      </w:r>
      <w:r w:rsidR="0062602E" w:rsidRPr="00BC0D64">
        <w:rPr>
          <w:rFonts w:eastAsia="Arial Unicode MS" w:cs="Arial"/>
          <w:szCs w:val="22"/>
          <w:lang w:val="es-MX" w:eastAsia="es-MX"/>
        </w:rPr>
        <w:t xml:space="preserve">libre de fecha 28 de noviembre de 2022, al cual se adjunta información sin folio y </w:t>
      </w:r>
      <w:r w:rsidR="0062602E" w:rsidRPr="00BC0D64">
        <w:rPr>
          <w:rFonts w:eastAsia="Arial Unicode MS" w:cs="Arial"/>
          <w:b/>
          <w:szCs w:val="22"/>
          <w:lang w:val="es-MX" w:eastAsia="es-MX"/>
        </w:rPr>
        <w:t>escrito</w:t>
      </w:r>
      <w:r w:rsidR="007A4081" w:rsidRPr="00BC0D64">
        <w:rPr>
          <w:rFonts w:eastAsia="Arial Unicode MS" w:cs="Arial"/>
          <w:szCs w:val="22"/>
          <w:lang w:val="es-MX" w:eastAsia="es-MX"/>
        </w:rPr>
        <w:t xml:space="preserve"> </w:t>
      </w:r>
      <w:r w:rsidR="007A4081" w:rsidRPr="00BC0D64">
        <w:rPr>
          <w:rFonts w:eastAsia="Arial Unicode MS" w:cs="Arial"/>
          <w:b/>
          <w:szCs w:val="22"/>
          <w:lang w:val="es-MX" w:eastAsia="es-MX"/>
        </w:rPr>
        <w:t xml:space="preserve">libre </w:t>
      </w:r>
      <w:r w:rsidR="007A4081" w:rsidRPr="00BC0D64">
        <w:rPr>
          <w:rFonts w:eastAsia="Arial Unicode MS" w:cs="Arial"/>
          <w:szCs w:val="22"/>
          <w:lang w:val="es-MX" w:eastAsia="es-MX"/>
        </w:rPr>
        <w:t>de fecha 28 de noviembre de 2022</w:t>
      </w:r>
      <w:r w:rsidR="007A4081" w:rsidRPr="00BC0D64">
        <w:rPr>
          <w:rFonts w:cs="Arial"/>
          <w:lang w:eastAsia="es-MX"/>
        </w:rPr>
        <w:t>,</w:t>
      </w:r>
      <w:r w:rsidR="0062602E" w:rsidRPr="00BC0D64">
        <w:rPr>
          <w:rFonts w:cs="Arial"/>
          <w:lang w:eastAsia="es-MX"/>
        </w:rPr>
        <w:t xml:space="preserve"> al cual adjuntan 20 fojas, </w:t>
      </w:r>
      <w:r w:rsidR="0062602E" w:rsidRPr="00BC0D64">
        <w:rPr>
          <w:rFonts w:cs="Arial"/>
          <w:szCs w:val="22"/>
        </w:rPr>
        <w:t>mismas que fueron analizadas con el fin de determinar la procedencia de eliminar, rectificar o ratificar los Resultados y las Observaciones Preliminares determinadas por la Auditoría Superior de Michoacán, las cuales se encuentran descritas en el apartado de Resultados de la Fiscalización Efectuada.</w:t>
      </w:r>
    </w:p>
    <w:p w14:paraId="1B83A236" w14:textId="77777777" w:rsidR="0062602E" w:rsidRPr="00BC0D64" w:rsidRDefault="0062602E" w:rsidP="00293214">
      <w:pPr>
        <w:rPr>
          <w:rFonts w:cs="Arial"/>
          <w:szCs w:val="22"/>
        </w:rPr>
      </w:pPr>
    </w:p>
    <w:p w14:paraId="43231019" w14:textId="77777777" w:rsidR="00C73699" w:rsidRPr="00BC0D64" w:rsidRDefault="00C73699" w:rsidP="00293214">
      <w:pPr>
        <w:rPr>
          <w:rFonts w:cs="Arial"/>
          <w:b/>
          <w:bCs/>
          <w:szCs w:val="22"/>
        </w:rPr>
      </w:pPr>
      <w:r w:rsidRPr="00BC0D64">
        <w:rPr>
          <w:rFonts w:cs="Arial"/>
          <w:b/>
          <w:bCs/>
          <w:szCs w:val="22"/>
        </w:rPr>
        <w:t>DICTAMEN DE LA REVISIÓN</w:t>
      </w:r>
    </w:p>
    <w:p w14:paraId="332D724A" w14:textId="77777777" w:rsidR="00C73699" w:rsidRPr="00BC0D64" w:rsidRDefault="00C73699" w:rsidP="00293214">
      <w:pPr>
        <w:rPr>
          <w:rFonts w:cs="Arial"/>
          <w:b/>
          <w:bCs/>
          <w:szCs w:val="22"/>
        </w:rPr>
      </w:pPr>
    </w:p>
    <w:p w14:paraId="7186473D" w14:textId="77777777" w:rsidR="00C73699" w:rsidRPr="00BC0D64" w:rsidRDefault="00C73699" w:rsidP="00293214">
      <w:pPr>
        <w:pStyle w:val="Sinespaciado"/>
        <w:spacing w:line="276" w:lineRule="auto"/>
        <w:jc w:val="both"/>
        <w:rPr>
          <w:rFonts w:ascii="Arial" w:hAnsi="Arial" w:cs="Arial"/>
        </w:rPr>
      </w:pPr>
      <w:r w:rsidRPr="00BC0D64">
        <w:rPr>
          <w:rFonts w:ascii="Arial" w:hAnsi="Arial" w:cs="Arial"/>
        </w:rPr>
        <w:t>Hemos fiscalizado los Recursos Fiscales, Ingresos Propios y/o Ingresos de Gestión, por lo que la responsabilidad de la información utilizada corresponde a la Entidad Fiscalizada, nuestra atribución consiste en emitir una opinión técnicamente sustentada sobre la muestra sujeta a fiscalización.</w:t>
      </w:r>
    </w:p>
    <w:p w14:paraId="4767DE81" w14:textId="77777777" w:rsidR="00C73699" w:rsidRPr="00BC0D64" w:rsidRDefault="00C73699" w:rsidP="00293214">
      <w:pPr>
        <w:pStyle w:val="Sinespaciado"/>
        <w:spacing w:line="276" w:lineRule="auto"/>
        <w:jc w:val="both"/>
        <w:rPr>
          <w:rFonts w:ascii="Arial" w:hAnsi="Arial" w:cs="Arial"/>
        </w:rPr>
      </w:pPr>
    </w:p>
    <w:p w14:paraId="76CFD1B4" w14:textId="77777777" w:rsidR="00C73699" w:rsidRPr="00BC0D64" w:rsidRDefault="00C73699" w:rsidP="00293214">
      <w:pPr>
        <w:pStyle w:val="Sinespaciado"/>
        <w:spacing w:line="276" w:lineRule="auto"/>
        <w:jc w:val="both"/>
        <w:rPr>
          <w:rFonts w:ascii="Arial" w:hAnsi="Arial" w:cs="Arial"/>
        </w:rPr>
      </w:pPr>
      <w:r w:rsidRPr="00BC0D64">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1DACD43D" w14:textId="77777777" w:rsidR="00C73699" w:rsidRPr="00BC0D64" w:rsidRDefault="00C73699" w:rsidP="00293214">
      <w:pPr>
        <w:pStyle w:val="Sinespaciado"/>
        <w:spacing w:line="276" w:lineRule="auto"/>
        <w:jc w:val="both"/>
        <w:rPr>
          <w:rFonts w:ascii="Arial" w:hAnsi="Arial" w:cs="Arial"/>
        </w:rPr>
      </w:pPr>
    </w:p>
    <w:p w14:paraId="2F321FA6" w14:textId="01A95E82" w:rsidR="00894787" w:rsidRPr="00BC0D64" w:rsidRDefault="00C73699" w:rsidP="00894787">
      <w:pPr>
        <w:rPr>
          <w:rFonts w:eastAsia="Calibri" w:cs="Arial"/>
          <w:szCs w:val="22"/>
          <w:lang w:val="es-MX" w:eastAsia="en-US"/>
        </w:rPr>
      </w:pPr>
      <w:r w:rsidRPr="00BC0D64">
        <w:rPr>
          <w:rFonts w:cs="Arial"/>
        </w:rPr>
        <w:t xml:space="preserve">En nuestra opinión, la información financiera sujeta a fiscalización, respecto a los ingresos propios presentan razonablemente la situación contable, de la Entidad Fiscalizada salvo </w:t>
      </w:r>
      <w:r w:rsidR="00894787" w:rsidRPr="00BC0D64">
        <w:rPr>
          <w:rFonts w:cs="Arial"/>
        </w:rPr>
        <w:t xml:space="preserve">que se identificaron omisiones de realizar la conciliación del inventario de bienes muebles e inmuebles con el registro contable, </w:t>
      </w:r>
      <w:r w:rsidR="00894787" w:rsidRPr="00BC0D64">
        <w:rPr>
          <w:rFonts w:eastAsia="Calibri" w:cs="Arial"/>
          <w:szCs w:val="22"/>
          <w:lang w:val="es-MX" w:eastAsia="en-US"/>
        </w:rPr>
        <w:t>en la presentación documental que compruebe y justifique la recuperación del saldo de Deudores Diversos y</w:t>
      </w:r>
      <w:r w:rsidR="00894787" w:rsidRPr="00BC0D64">
        <w:rPr>
          <w:rFonts w:cs="Arial"/>
        </w:rPr>
        <w:t xml:space="preserve"> el </w:t>
      </w:r>
      <w:r w:rsidR="00894787" w:rsidRPr="00BC0D64">
        <w:rPr>
          <w:rFonts w:eastAsia="Calibri" w:cs="Arial"/>
          <w:szCs w:val="22"/>
          <w:lang w:val="es-MX" w:eastAsia="en-US"/>
        </w:rPr>
        <w:t>Balance Presupuestario, no cumple con el Principio de Sostenibilidad Presupuestal</w:t>
      </w:r>
      <w:r w:rsidR="0076742E">
        <w:rPr>
          <w:rFonts w:eastAsia="Calibri" w:cs="Arial"/>
          <w:szCs w:val="22"/>
          <w:lang w:val="es-MX" w:eastAsia="en-US"/>
        </w:rPr>
        <w:t>,</w:t>
      </w:r>
      <w:r w:rsidR="00E73186" w:rsidRPr="00E73186">
        <w:rPr>
          <w:rFonts w:cs="Arial"/>
        </w:rPr>
        <w:t xml:space="preserve"> </w:t>
      </w:r>
      <w:r w:rsidR="00E73186">
        <w:rPr>
          <w:rFonts w:cs="Arial"/>
        </w:rPr>
        <w:t xml:space="preserve">sobre el cual se instaurarán </w:t>
      </w:r>
      <w:r w:rsidR="00E73186">
        <w:rPr>
          <w:rFonts w:cs="Arial"/>
        </w:rPr>
        <w:lastRenderedPageBreak/>
        <w:t>procedimientos de investigación y se elaboran los Informes de Presuntas Irregularidades, en los términos legales aplicables</w:t>
      </w:r>
      <w:r w:rsidR="00145441">
        <w:rPr>
          <w:rFonts w:cs="Arial"/>
        </w:rPr>
        <w:t>.</w:t>
      </w:r>
    </w:p>
    <w:p w14:paraId="67CC610D" w14:textId="33787520" w:rsidR="00293214" w:rsidRPr="00BC0D64" w:rsidRDefault="00293214" w:rsidP="00293214">
      <w:pPr>
        <w:pStyle w:val="Sinespaciado"/>
        <w:spacing w:line="276" w:lineRule="auto"/>
        <w:jc w:val="both"/>
        <w:rPr>
          <w:rFonts w:ascii="Arial" w:eastAsia="Times New Roman" w:hAnsi="Arial" w:cs="Arial"/>
          <w:bCs/>
          <w:lang w:val="es-ES" w:eastAsia="es-ES"/>
        </w:rPr>
      </w:pPr>
    </w:p>
    <w:p w14:paraId="62808EAC" w14:textId="77777777" w:rsidR="00C73699" w:rsidRPr="00BC0D64" w:rsidRDefault="00C73699" w:rsidP="00293214">
      <w:pPr>
        <w:pStyle w:val="Sinespaciado"/>
        <w:spacing w:line="276" w:lineRule="auto"/>
        <w:jc w:val="both"/>
        <w:rPr>
          <w:rFonts w:ascii="Arial" w:hAnsi="Arial" w:cs="Arial"/>
        </w:rPr>
      </w:pPr>
      <w:r w:rsidRPr="00BC0D64">
        <w:rPr>
          <w:rFonts w:ascii="Arial" w:hAnsi="Arial" w:cs="Arial"/>
        </w:rPr>
        <w:t>En el proceso de fiscalización se identificaron áreas de oportunidad para un mejor funcionamiento de la Entidad Fiscalizada, toda vez que se identificaron debilidades las cuales se precisan en el apartado de Resultados de la Fiscalización efectuada.</w:t>
      </w:r>
    </w:p>
    <w:p w14:paraId="78EE3BCA" w14:textId="77777777" w:rsidR="00C73699" w:rsidRPr="00BC0D64" w:rsidRDefault="00C73699" w:rsidP="00293214">
      <w:pPr>
        <w:pStyle w:val="Sinespaciado"/>
        <w:spacing w:line="276" w:lineRule="auto"/>
        <w:jc w:val="both"/>
        <w:rPr>
          <w:rFonts w:ascii="Arial" w:eastAsia="Arial" w:hAnsi="Arial" w:cs="Arial"/>
        </w:rPr>
      </w:pPr>
    </w:p>
    <w:p w14:paraId="6678B662" w14:textId="77777777" w:rsidR="00C73699" w:rsidRPr="00BC0D64" w:rsidRDefault="00C73699" w:rsidP="00293214">
      <w:pPr>
        <w:pStyle w:val="Sinespaciado"/>
        <w:spacing w:line="276" w:lineRule="auto"/>
        <w:jc w:val="both"/>
        <w:rPr>
          <w:rFonts w:ascii="Arial" w:eastAsia="Arial" w:hAnsi="Arial" w:cs="Arial"/>
          <w:iCs/>
        </w:rPr>
      </w:pPr>
      <w:r w:rsidRPr="00BC0D64">
        <w:rPr>
          <w:rFonts w:ascii="Arial" w:hAnsi="Arial" w:cs="Arial"/>
        </w:rPr>
        <w:t>Derivado del contenido del presente informe se desprenden datos personales, por lo que se deberá guardar reserva y confidencialidad en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BC0D64">
        <w:rPr>
          <w:rFonts w:ascii="Arial" w:hAnsi="Arial" w:cs="Arial"/>
          <w:b/>
          <w:iCs/>
        </w:rPr>
        <w:t>.</w:t>
      </w:r>
    </w:p>
    <w:p w14:paraId="3FF9AD23" w14:textId="77777777" w:rsidR="00C73699" w:rsidRPr="00BC0D64" w:rsidRDefault="00C73699" w:rsidP="00293214">
      <w:pPr>
        <w:ind w:right="49"/>
        <w:rPr>
          <w:rFonts w:eastAsiaTheme="minorHAnsi" w:cs="Arial"/>
          <w:szCs w:val="22"/>
        </w:rPr>
      </w:pPr>
    </w:p>
    <w:p w14:paraId="5EC23E8D" w14:textId="4826962F" w:rsidR="007A4081" w:rsidRDefault="007A4081" w:rsidP="00293214">
      <w:pPr>
        <w:pStyle w:val="Sinespaciado"/>
        <w:spacing w:line="276" w:lineRule="auto"/>
        <w:jc w:val="both"/>
        <w:rPr>
          <w:rFonts w:ascii="Arial" w:eastAsia="Arial" w:hAnsi="Arial" w:cs="Arial"/>
          <w:iCs/>
        </w:rPr>
      </w:pPr>
    </w:p>
    <w:p w14:paraId="0B5C6DB5" w14:textId="77777777" w:rsidR="00DF6CAF" w:rsidRPr="00BC0D64" w:rsidRDefault="00DF6CAF" w:rsidP="00293214">
      <w:pPr>
        <w:pStyle w:val="Sinespaciado"/>
        <w:spacing w:line="276" w:lineRule="auto"/>
        <w:jc w:val="both"/>
        <w:rPr>
          <w:rFonts w:ascii="Arial" w:eastAsia="Arial" w:hAnsi="Arial" w:cs="Arial"/>
          <w:iCs/>
        </w:rPr>
      </w:pPr>
    </w:p>
    <w:sectPr w:rsidR="00DF6CAF" w:rsidRPr="00BC0D64" w:rsidSect="005054B6">
      <w:headerReference w:type="default" r:id="rId9"/>
      <w:footerReference w:type="default" r:id="rId10"/>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BD309" w14:textId="77777777" w:rsidR="005A3160" w:rsidRDefault="005A3160" w:rsidP="00864A97">
      <w:r>
        <w:separator/>
      </w:r>
    </w:p>
  </w:endnote>
  <w:endnote w:type="continuationSeparator" w:id="0">
    <w:p w14:paraId="1DB62E8C" w14:textId="77777777" w:rsidR="005A3160" w:rsidRDefault="005A3160"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041064">
              <w:rPr>
                <w:rFonts w:ascii="Arial" w:hAnsi="Arial" w:cs="Arial"/>
                <w:noProof/>
                <w:sz w:val="18"/>
                <w:szCs w:val="18"/>
              </w:rPr>
              <w:t>8</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041064">
              <w:rPr>
                <w:rFonts w:ascii="Arial" w:hAnsi="Arial" w:cs="Arial"/>
                <w:noProof/>
                <w:sz w:val="18"/>
                <w:szCs w:val="18"/>
              </w:rPr>
              <w:t>8</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5A3160"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A9EA3" w14:textId="77777777" w:rsidR="005A3160" w:rsidRDefault="005A3160" w:rsidP="00864A97">
      <w:r>
        <w:separator/>
      </w:r>
    </w:p>
  </w:footnote>
  <w:footnote w:type="continuationSeparator" w:id="0">
    <w:p w14:paraId="1DF810C1" w14:textId="77777777" w:rsidR="005A3160" w:rsidRDefault="005A3160"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6"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95950D3"/>
    <w:multiLevelType w:val="hybridMultilevel"/>
    <w:tmpl w:val="E92A98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2"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6"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64862838"/>
    <w:multiLevelType w:val="hybridMultilevel"/>
    <w:tmpl w:val="993E8E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5"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7"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B4A2664"/>
    <w:multiLevelType w:val="multilevel"/>
    <w:tmpl w:val="F844E1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08397211">
    <w:abstractNumId w:val="21"/>
  </w:num>
  <w:num w:numId="2" w16cid:durableId="1290087958">
    <w:abstractNumId w:val="22"/>
  </w:num>
  <w:num w:numId="3" w16cid:durableId="1501315422">
    <w:abstractNumId w:val="9"/>
  </w:num>
  <w:num w:numId="4" w16cid:durableId="1562017674">
    <w:abstractNumId w:val="25"/>
  </w:num>
  <w:num w:numId="5" w16cid:durableId="1760445451">
    <w:abstractNumId w:val="36"/>
  </w:num>
  <w:num w:numId="6" w16cid:durableId="1282765444">
    <w:abstractNumId w:val="29"/>
  </w:num>
  <w:num w:numId="7" w16cid:durableId="1911381035">
    <w:abstractNumId w:val="33"/>
  </w:num>
  <w:num w:numId="8" w16cid:durableId="1769813047">
    <w:abstractNumId w:val="3"/>
  </w:num>
  <w:num w:numId="9" w16cid:durableId="74938473">
    <w:abstractNumId w:val="31"/>
  </w:num>
  <w:num w:numId="10" w16cid:durableId="305089469">
    <w:abstractNumId w:val="27"/>
  </w:num>
  <w:num w:numId="11" w16cid:durableId="46152665">
    <w:abstractNumId w:val="11"/>
  </w:num>
  <w:num w:numId="12" w16cid:durableId="683826720">
    <w:abstractNumId w:val="1"/>
  </w:num>
  <w:num w:numId="13" w16cid:durableId="1692798360">
    <w:abstractNumId w:val="8"/>
  </w:num>
  <w:num w:numId="14" w16cid:durableId="910694915">
    <w:abstractNumId w:val="19"/>
  </w:num>
  <w:num w:numId="15" w16cid:durableId="311373545">
    <w:abstractNumId w:val="28"/>
  </w:num>
  <w:num w:numId="16" w16cid:durableId="392002249">
    <w:abstractNumId w:val="16"/>
  </w:num>
  <w:num w:numId="17" w16cid:durableId="468864685">
    <w:abstractNumId w:val="35"/>
  </w:num>
  <w:num w:numId="18" w16cid:durableId="1930237799">
    <w:abstractNumId w:val="7"/>
  </w:num>
  <w:num w:numId="19" w16cid:durableId="1057050048">
    <w:abstractNumId w:val="23"/>
  </w:num>
  <w:num w:numId="20" w16cid:durableId="714696965">
    <w:abstractNumId w:val="34"/>
  </w:num>
  <w:num w:numId="21" w16cid:durableId="1017543730">
    <w:abstractNumId w:val="37"/>
  </w:num>
  <w:num w:numId="22" w16cid:durableId="259139977">
    <w:abstractNumId w:val="2"/>
  </w:num>
  <w:num w:numId="23" w16cid:durableId="1877112972">
    <w:abstractNumId w:val="4"/>
  </w:num>
  <w:num w:numId="24" w16cid:durableId="1570723296">
    <w:abstractNumId w:val="15"/>
  </w:num>
  <w:num w:numId="25" w16cid:durableId="939533382">
    <w:abstractNumId w:val="20"/>
  </w:num>
  <w:num w:numId="26" w16cid:durableId="1842046452">
    <w:abstractNumId w:val="12"/>
  </w:num>
  <w:num w:numId="27" w16cid:durableId="200939773">
    <w:abstractNumId w:val="17"/>
  </w:num>
  <w:num w:numId="28" w16cid:durableId="984965352">
    <w:abstractNumId w:val="10"/>
  </w:num>
  <w:num w:numId="29" w16cid:durableId="848373507">
    <w:abstractNumId w:val="6"/>
  </w:num>
  <w:num w:numId="30" w16cid:durableId="1852526343">
    <w:abstractNumId w:val="13"/>
  </w:num>
  <w:num w:numId="31" w16cid:durableId="435711784">
    <w:abstractNumId w:val="0"/>
  </w:num>
  <w:num w:numId="32" w16cid:durableId="293369260">
    <w:abstractNumId w:val="30"/>
  </w:num>
  <w:num w:numId="33" w16cid:durableId="997076317">
    <w:abstractNumId w:val="24"/>
  </w:num>
  <w:num w:numId="34" w16cid:durableId="1469930720">
    <w:abstractNumId w:val="14"/>
  </w:num>
  <w:num w:numId="35" w16cid:durableId="1356930797">
    <w:abstractNumId w:val="5"/>
  </w:num>
  <w:num w:numId="36" w16cid:durableId="1605915553">
    <w:abstractNumId w:val="26"/>
  </w:num>
  <w:num w:numId="37" w16cid:durableId="214397134">
    <w:abstractNumId w:val="38"/>
  </w:num>
  <w:num w:numId="38" w16cid:durableId="1636908632">
    <w:abstractNumId w:val="32"/>
  </w:num>
  <w:num w:numId="39" w16cid:durableId="902061725">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844"/>
    <w:rsid w:val="00002AB8"/>
    <w:rsid w:val="00003EF5"/>
    <w:rsid w:val="000048D9"/>
    <w:rsid w:val="0001258F"/>
    <w:rsid w:val="00012D35"/>
    <w:rsid w:val="0002043B"/>
    <w:rsid w:val="00020A8D"/>
    <w:rsid w:val="00021DC0"/>
    <w:rsid w:val="00027342"/>
    <w:rsid w:val="0003018C"/>
    <w:rsid w:val="00031A96"/>
    <w:rsid w:val="00036FED"/>
    <w:rsid w:val="00040688"/>
    <w:rsid w:val="00040A50"/>
    <w:rsid w:val="00041064"/>
    <w:rsid w:val="0004305C"/>
    <w:rsid w:val="00051F03"/>
    <w:rsid w:val="0005237A"/>
    <w:rsid w:val="000563EB"/>
    <w:rsid w:val="00071CF3"/>
    <w:rsid w:val="000749E4"/>
    <w:rsid w:val="00084C1C"/>
    <w:rsid w:val="00090EA6"/>
    <w:rsid w:val="00094825"/>
    <w:rsid w:val="00094B61"/>
    <w:rsid w:val="000A0720"/>
    <w:rsid w:val="000A19BE"/>
    <w:rsid w:val="000B633C"/>
    <w:rsid w:val="000B6619"/>
    <w:rsid w:val="000C1360"/>
    <w:rsid w:val="000C1BBB"/>
    <w:rsid w:val="000C282E"/>
    <w:rsid w:val="000C348A"/>
    <w:rsid w:val="000C355F"/>
    <w:rsid w:val="000C5DAC"/>
    <w:rsid w:val="000C625A"/>
    <w:rsid w:val="000D0757"/>
    <w:rsid w:val="000D40B0"/>
    <w:rsid w:val="000D448E"/>
    <w:rsid w:val="000D4BE3"/>
    <w:rsid w:val="000D57A5"/>
    <w:rsid w:val="000D5A48"/>
    <w:rsid w:val="000E4E8D"/>
    <w:rsid w:val="000F44B0"/>
    <w:rsid w:val="000F783B"/>
    <w:rsid w:val="001006AC"/>
    <w:rsid w:val="001015D3"/>
    <w:rsid w:val="00102227"/>
    <w:rsid w:val="001118B7"/>
    <w:rsid w:val="00112F51"/>
    <w:rsid w:val="00114987"/>
    <w:rsid w:val="00126511"/>
    <w:rsid w:val="001273ED"/>
    <w:rsid w:val="00141DEB"/>
    <w:rsid w:val="00142FE3"/>
    <w:rsid w:val="00145441"/>
    <w:rsid w:val="00145FBB"/>
    <w:rsid w:val="00146FD7"/>
    <w:rsid w:val="00150ACA"/>
    <w:rsid w:val="00156595"/>
    <w:rsid w:val="00161FB3"/>
    <w:rsid w:val="00166ECA"/>
    <w:rsid w:val="001709D2"/>
    <w:rsid w:val="00176C70"/>
    <w:rsid w:val="00181FC4"/>
    <w:rsid w:val="00182602"/>
    <w:rsid w:val="0018452E"/>
    <w:rsid w:val="001954FE"/>
    <w:rsid w:val="00197A36"/>
    <w:rsid w:val="001A3191"/>
    <w:rsid w:val="001A63F7"/>
    <w:rsid w:val="001B033F"/>
    <w:rsid w:val="001B0577"/>
    <w:rsid w:val="001B17F4"/>
    <w:rsid w:val="001B34B0"/>
    <w:rsid w:val="001C159D"/>
    <w:rsid w:val="001C3967"/>
    <w:rsid w:val="001C52A9"/>
    <w:rsid w:val="001D2307"/>
    <w:rsid w:val="001D287F"/>
    <w:rsid w:val="001D31C9"/>
    <w:rsid w:val="001D6615"/>
    <w:rsid w:val="001E2900"/>
    <w:rsid w:val="001E2CED"/>
    <w:rsid w:val="001E4E3F"/>
    <w:rsid w:val="001E7C92"/>
    <w:rsid w:val="001E7F83"/>
    <w:rsid w:val="001F0F1B"/>
    <w:rsid w:val="001F38F0"/>
    <w:rsid w:val="001F3CC7"/>
    <w:rsid w:val="001F5254"/>
    <w:rsid w:val="001F5B31"/>
    <w:rsid w:val="001F6CB4"/>
    <w:rsid w:val="001F76DD"/>
    <w:rsid w:val="002022E9"/>
    <w:rsid w:val="00203033"/>
    <w:rsid w:val="002030EE"/>
    <w:rsid w:val="00205202"/>
    <w:rsid w:val="00205DCC"/>
    <w:rsid w:val="00206541"/>
    <w:rsid w:val="002118A7"/>
    <w:rsid w:val="00212771"/>
    <w:rsid w:val="002214FF"/>
    <w:rsid w:val="00223C2E"/>
    <w:rsid w:val="0023284F"/>
    <w:rsid w:val="00235F2E"/>
    <w:rsid w:val="00236BFD"/>
    <w:rsid w:val="00236CA5"/>
    <w:rsid w:val="00237B98"/>
    <w:rsid w:val="0024303F"/>
    <w:rsid w:val="00247968"/>
    <w:rsid w:val="00251664"/>
    <w:rsid w:val="00252BDB"/>
    <w:rsid w:val="00253FBF"/>
    <w:rsid w:val="0025712F"/>
    <w:rsid w:val="00260B9F"/>
    <w:rsid w:val="00262DD4"/>
    <w:rsid w:val="002643CF"/>
    <w:rsid w:val="0026599B"/>
    <w:rsid w:val="00271FB9"/>
    <w:rsid w:val="00274A71"/>
    <w:rsid w:val="00275CA1"/>
    <w:rsid w:val="00284C10"/>
    <w:rsid w:val="00291281"/>
    <w:rsid w:val="002922CA"/>
    <w:rsid w:val="00292746"/>
    <w:rsid w:val="00293214"/>
    <w:rsid w:val="00296329"/>
    <w:rsid w:val="00296B75"/>
    <w:rsid w:val="002A1F45"/>
    <w:rsid w:val="002B34FD"/>
    <w:rsid w:val="002C37D7"/>
    <w:rsid w:val="002D418D"/>
    <w:rsid w:val="002D4B43"/>
    <w:rsid w:val="002D4FB4"/>
    <w:rsid w:val="002D5253"/>
    <w:rsid w:val="002E03E5"/>
    <w:rsid w:val="002E08E8"/>
    <w:rsid w:val="002F17FF"/>
    <w:rsid w:val="003022D0"/>
    <w:rsid w:val="00320835"/>
    <w:rsid w:val="00322E1C"/>
    <w:rsid w:val="00322F1B"/>
    <w:rsid w:val="0032754D"/>
    <w:rsid w:val="00330C4F"/>
    <w:rsid w:val="00331027"/>
    <w:rsid w:val="00331D9E"/>
    <w:rsid w:val="00332F36"/>
    <w:rsid w:val="0033354E"/>
    <w:rsid w:val="00336802"/>
    <w:rsid w:val="003413DB"/>
    <w:rsid w:val="00342D52"/>
    <w:rsid w:val="00342E64"/>
    <w:rsid w:val="00352389"/>
    <w:rsid w:val="003551CF"/>
    <w:rsid w:val="003557B7"/>
    <w:rsid w:val="0036589F"/>
    <w:rsid w:val="003742F9"/>
    <w:rsid w:val="0037545D"/>
    <w:rsid w:val="00376D1F"/>
    <w:rsid w:val="00377859"/>
    <w:rsid w:val="003806FD"/>
    <w:rsid w:val="00385F15"/>
    <w:rsid w:val="003862C2"/>
    <w:rsid w:val="00386D09"/>
    <w:rsid w:val="00390412"/>
    <w:rsid w:val="0039609F"/>
    <w:rsid w:val="00397F30"/>
    <w:rsid w:val="003A277A"/>
    <w:rsid w:val="003A347B"/>
    <w:rsid w:val="003A522F"/>
    <w:rsid w:val="003B023D"/>
    <w:rsid w:val="003B2BC4"/>
    <w:rsid w:val="003B4D37"/>
    <w:rsid w:val="003B5666"/>
    <w:rsid w:val="003C258E"/>
    <w:rsid w:val="003C28EA"/>
    <w:rsid w:val="003C2F99"/>
    <w:rsid w:val="003C4C6C"/>
    <w:rsid w:val="003C5EE6"/>
    <w:rsid w:val="003C611A"/>
    <w:rsid w:val="003C6318"/>
    <w:rsid w:val="003C729F"/>
    <w:rsid w:val="003C7A71"/>
    <w:rsid w:val="003D38DC"/>
    <w:rsid w:val="003D7B20"/>
    <w:rsid w:val="003E71D3"/>
    <w:rsid w:val="003F30E0"/>
    <w:rsid w:val="003F6194"/>
    <w:rsid w:val="003F6EC6"/>
    <w:rsid w:val="00403CC8"/>
    <w:rsid w:val="00410C61"/>
    <w:rsid w:val="00411190"/>
    <w:rsid w:val="004112D3"/>
    <w:rsid w:val="0041692A"/>
    <w:rsid w:val="00417579"/>
    <w:rsid w:val="004176EA"/>
    <w:rsid w:val="0041775E"/>
    <w:rsid w:val="00421DA2"/>
    <w:rsid w:val="00423887"/>
    <w:rsid w:val="00424C15"/>
    <w:rsid w:val="00435684"/>
    <w:rsid w:val="00442797"/>
    <w:rsid w:val="00451606"/>
    <w:rsid w:val="00453540"/>
    <w:rsid w:val="004602C6"/>
    <w:rsid w:val="00461351"/>
    <w:rsid w:val="00461D4A"/>
    <w:rsid w:val="00462A20"/>
    <w:rsid w:val="00476348"/>
    <w:rsid w:val="004769B5"/>
    <w:rsid w:val="004804FC"/>
    <w:rsid w:val="00483F8E"/>
    <w:rsid w:val="00487DA1"/>
    <w:rsid w:val="00492510"/>
    <w:rsid w:val="00492D19"/>
    <w:rsid w:val="004A00EA"/>
    <w:rsid w:val="004A0FA6"/>
    <w:rsid w:val="004A2735"/>
    <w:rsid w:val="004A7D74"/>
    <w:rsid w:val="004B48A7"/>
    <w:rsid w:val="004C04B5"/>
    <w:rsid w:val="004C062B"/>
    <w:rsid w:val="004C2400"/>
    <w:rsid w:val="004C50AA"/>
    <w:rsid w:val="004C60DD"/>
    <w:rsid w:val="004C69C0"/>
    <w:rsid w:val="004D04BA"/>
    <w:rsid w:val="004D07FA"/>
    <w:rsid w:val="004D4B31"/>
    <w:rsid w:val="004E2BFC"/>
    <w:rsid w:val="004E6737"/>
    <w:rsid w:val="004E7553"/>
    <w:rsid w:val="004F09B7"/>
    <w:rsid w:val="004F1F64"/>
    <w:rsid w:val="004F5053"/>
    <w:rsid w:val="005054B6"/>
    <w:rsid w:val="00506537"/>
    <w:rsid w:val="00506BC0"/>
    <w:rsid w:val="0051124E"/>
    <w:rsid w:val="0051345C"/>
    <w:rsid w:val="00513E0B"/>
    <w:rsid w:val="005166CE"/>
    <w:rsid w:val="00526CB0"/>
    <w:rsid w:val="00532690"/>
    <w:rsid w:val="0053486A"/>
    <w:rsid w:val="0053656F"/>
    <w:rsid w:val="00541EF9"/>
    <w:rsid w:val="005431C0"/>
    <w:rsid w:val="00543EBB"/>
    <w:rsid w:val="00545683"/>
    <w:rsid w:val="0054590C"/>
    <w:rsid w:val="0054734D"/>
    <w:rsid w:val="00550E9B"/>
    <w:rsid w:val="005573DB"/>
    <w:rsid w:val="00560AD7"/>
    <w:rsid w:val="00561453"/>
    <w:rsid w:val="005623CE"/>
    <w:rsid w:val="00562B22"/>
    <w:rsid w:val="0056373F"/>
    <w:rsid w:val="00563B9F"/>
    <w:rsid w:val="00563DEF"/>
    <w:rsid w:val="005646B1"/>
    <w:rsid w:val="00565F46"/>
    <w:rsid w:val="00566F9C"/>
    <w:rsid w:val="00573B6B"/>
    <w:rsid w:val="00576E2F"/>
    <w:rsid w:val="00577DC2"/>
    <w:rsid w:val="00584767"/>
    <w:rsid w:val="005914A4"/>
    <w:rsid w:val="0059169D"/>
    <w:rsid w:val="00594428"/>
    <w:rsid w:val="00597C25"/>
    <w:rsid w:val="005A3160"/>
    <w:rsid w:val="005A4B09"/>
    <w:rsid w:val="005A6E32"/>
    <w:rsid w:val="005A72B2"/>
    <w:rsid w:val="005B2FB4"/>
    <w:rsid w:val="005B7B10"/>
    <w:rsid w:val="005C0B70"/>
    <w:rsid w:val="005C45FD"/>
    <w:rsid w:val="005C46E3"/>
    <w:rsid w:val="005C5F6D"/>
    <w:rsid w:val="005C6D57"/>
    <w:rsid w:val="005D28B0"/>
    <w:rsid w:val="005D2CB8"/>
    <w:rsid w:val="005D5045"/>
    <w:rsid w:val="005D5172"/>
    <w:rsid w:val="005E08BC"/>
    <w:rsid w:val="005E35C8"/>
    <w:rsid w:val="005E466D"/>
    <w:rsid w:val="005E4F26"/>
    <w:rsid w:val="005E63EE"/>
    <w:rsid w:val="005E680D"/>
    <w:rsid w:val="005E6A61"/>
    <w:rsid w:val="005F0E89"/>
    <w:rsid w:val="005F4306"/>
    <w:rsid w:val="00606102"/>
    <w:rsid w:val="006112ED"/>
    <w:rsid w:val="0061708C"/>
    <w:rsid w:val="0062068D"/>
    <w:rsid w:val="006207E0"/>
    <w:rsid w:val="006214D1"/>
    <w:rsid w:val="00622356"/>
    <w:rsid w:val="00623BB8"/>
    <w:rsid w:val="0062602E"/>
    <w:rsid w:val="00626CB9"/>
    <w:rsid w:val="00630B24"/>
    <w:rsid w:val="00632722"/>
    <w:rsid w:val="00635FA5"/>
    <w:rsid w:val="00637E01"/>
    <w:rsid w:val="00641CF7"/>
    <w:rsid w:val="00642FD2"/>
    <w:rsid w:val="00650485"/>
    <w:rsid w:val="006556A1"/>
    <w:rsid w:val="00655B26"/>
    <w:rsid w:val="00662767"/>
    <w:rsid w:val="0066417E"/>
    <w:rsid w:val="006642A8"/>
    <w:rsid w:val="00665577"/>
    <w:rsid w:val="00667915"/>
    <w:rsid w:val="006720B1"/>
    <w:rsid w:val="0067286D"/>
    <w:rsid w:val="0067548F"/>
    <w:rsid w:val="00675766"/>
    <w:rsid w:val="00675857"/>
    <w:rsid w:val="00675B90"/>
    <w:rsid w:val="00676B1B"/>
    <w:rsid w:val="00685708"/>
    <w:rsid w:val="006904E8"/>
    <w:rsid w:val="0069142A"/>
    <w:rsid w:val="00694B79"/>
    <w:rsid w:val="00696410"/>
    <w:rsid w:val="006A0ADC"/>
    <w:rsid w:val="006A335E"/>
    <w:rsid w:val="006A4D82"/>
    <w:rsid w:val="006A5E50"/>
    <w:rsid w:val="006B1BF3"/>
    <w:rsid w:val="006B2499"/>
    <w:rsid w:val="006C2928"/>
    <w:rsid w:val="006C46CC"/>
    <w:rsid w:val="006C4FF8"/>
    <w:rsid w:val="006C7C59"/>
    <w:rsid w:val="006D3321"/>
    <w:rsid w:val="006D749D"/>
    <w:rsid w:val="006E066E"/>
    <w:rsid w:val="006E23D0"/>
    <w:rsid w:val="006E2B2A"/>
    <w:rsid w:val="006E6B5C"/>
    <w:rsid w:val="006E7431"/>
    <w:rsid w:val="006F1B71"/>
    <w:rsid w:val="006F4F99"/>
    <w:rsid w:val="006F5671"/>
    <w:rsid w:val="006F5890"/>
    <w:rsid w:val="006F72E8"/>
    <w:rsid w:val="00702A42"/>
    <w:rsid w:val="00704C32"/>
    <w:rsid w:val="007078A6"/>
    <w:rsid w:val="00710B59"/>
    <w:rsid w:val="00711C17"/>
    <w:rsid w:val="00712E94"/>
    <w:rsid w:val="007177DF"/>
    <w:rsid w:val="00726A63"/>
    <w:rsid w:val="007302DA"/>
    <w:rsid w:val="00733C78"/>
    <w:rsid w:val="007351D2"/>
    <w:rsid w:val="00735A1F"/>
    <w:rsid w:val="00736F4D"/>
    <w:rsid w:val="00740211"/>
    <w:rsid w:val="00740461"/>
    <w:rsid w:val="00741E5D"/>
    <w:rsid w:val="00742AFA"/>
    <w:rsid w:val="00744246"/>
    <w:rsid w:val="00744E6C"/>
    <w:rsid w:val="00744F57"/>
    <w:rsid w:val="00747C9E"/>
    <w:rsid w:val="007504BC"/>
    <w:rsid w:val="00756469"/>
    <w:rsid w:val="00756ABB"/>
    <w:rsid w:val="00757EBA"/>
    <w:rsid w:val="007606E5"/>
    <w:rsid w:val="00762C5A"/>
    <w:rsid w:val="0076742E"/>
    <w:rsid w:val="00767ADE"/>
    <w:rsid w:val="00767C7F"/>
    <w:rsid w:val="007713CD"/>
    <w:rsid w:val="007727CF"/>
    <w:rsid w:val="00772DBD"/>
    <w:rsid w:val="0078075D"/>
    <w:rsid w:val="00780A5A"/>
    <w:rsid w:val="00780BCF"/>
    <w:rsid w:val="00787351"/>
    <w:rsid w:val="007933C4"/>
    <w:rsid w:val="00793947"/>
    <w:rsid w:val="00794DEC"/>
    <w:rsid w:val="0079767E"/>
    <w:rsid w:val="007A4081"/>
    <w:rsid w:val="007A6403"/>
    <w:rsid w:val="007B0C6A"/>
    <w:rsid w:val="007B30B9"/>
    <w:rsid w:val="007B3AC0"/>
    <w:rsid w:val="007B70BB"/>
    <w:rsid w:val="007C0498"/>
    <w:rsid w:val="007C3236"/>
    <w:rsid w:val="007C5075"/>
    <w:rsid w:val="007C67D2"/>
    <w:rsid w:val="007C6D01"/>
    <w:rsid w:val="007D1945"/>
    <w:rsid w:val="007D1D50"/>
    <w:rsid w:val="007D38C7"/>
    <w:rsid w:val="007D4B98"/>
    <w:rsid w:val="007D509D"/>
    <w:rsid w:val="007D58DC"/>
    <w:rsid w:val="007E1BAF"/>
    <w:rsid w:val="007E1F23"/>
    <w:rsid w:val="007E34AF"/>
    <w:rsid w:val="007E67F5"/>
    <w:rsid w:val="007E6A4C"/>
    <w:rsid w:val="007E7544"/>
    <w:rsid w:val="007F192A"/>
    <w:rsid w:val="007F5BAA"/>
    <w:rsid w:val="008018EA"/>
    <w:rsid w:val="00802D47"/>
    <w:rsid w:val="00805996"/>
    <w:rsid w:val="00806906"/>
    <w:rsid w:val="008141F5"/>
    <w:rsid w:val="00815E71"/>
    <w:rsid w:val="00821A42"/>
    <w:rsid w:val="00824878"/>
    <w:rsid w:val="00831C45"/>
    <w:rsid w:val="00835BA2"/>
    <w:rsid w:val="00842542"/>
    <w:rsid w:val="00844C19"/>
    <w:rsid w:val="00845304"/>
    <w:rsid w:val="008519D3"/>
    <w:rsid w:val="0085643C"/>
    <w:rsid w:val="008611DA"/>
    <w:rsid w:val="00861ABB"/>
    <w:rsid w:val="00864A97"/>
    <w:rsid w:val="00865805"/>
    <w:rsid w:val="00870D5E"/>
    <w:rsid w:val="0087190A"/>
    <w:rsid w:val="008758B2"/>
    <w:rsid w:val="00877C82"/>
    <w:rsid w:val="00882019"/>
    <w:rsid w:val="00882462"/>
    <w:rsid w:val="00884C0C"/>
    <w:rsid w:val="00885E64"/>
    <w:rsid w:val="00892451"/>
    <w:rsid w:val="00892F68"/>
    <w:rsid w:val="00894787"/>
    <w:rsid w:val="00896830"/>
    <w:rsid w:val="008977CE"/>
    <w:rsid w:val="00897DF9"/>
    <w:rsid w:val="008A5663"/>
    <w:rsid w:val="008B4698"/>
    <w:rsid w:val="008C09CE"/>
    <w:rsid w:val="008C3317"/>
    <w:rsid w:val="008C33B7"/>
    <w:rsid w:val="008C799B"/>
    <w:rsid w:val="008D0A08"/>
    <w:rsid w:val="008D1D6D"/>
    <w:rsid w:val="008D2331"/>
    <w:rsid w:val="008D33FA"/>
    <w:rsid w:val="008D699A"/>
    <w:rsid w:val="008D753C"/>
    <w:rsid w:val="008E0441"/>
    <w:rsid w:val="008E1475"/>
    <w:rsid w:val="008F5F19"/>
    <w:rsid w:val="008F6915"/>
    <w:rsid w:val="008F6FD6"/>
    <w:rsid w:val="00900F43"/>
    <w:rsid w:val="009036B6"/>
    <w:rsid w:val="00904B77"/>
    <w:rsid w:val="0090785B"/>
    <w:rsid w:val="00911023"/>
    <w:rsid w:val="009120A3"/>
    <w:rsid w:val="00913DE2"/>
    <w:rsid w:val="009152DA"/>
    <w:rsid w:val="00921B03"/>
    <w:rsid w:val="00922CB1"/>
    <w:rsid w:val="00925083"/>
    <w:rsid w:val="00926D22"/>
    <w:rsid w:val="00934CEF"/>
    <w:rsid w:val="00934F1D"/>
    <w:rsid w:val="0093587B"/>
    <w:rsid w:val="00940992"/>
    <w:rsid w:val="00941E8E"/>
    <w:rsid w:val="0094489B"/>
    <w:rsid w:val="00944A63"/>
    <w:rsid w:val="009450A9"/>
    <w:rsid w:val="0094628D"/>
    <w:rsid w:val="00946B1D"/>
    <w:rsid w:val="0095283F"/>
    <w:rsid w:val="00957595"/>
    <w:rsid w:val="00964A43"/>
    <w:rsid w:val="00965D2B"/>
    <w:rsid w:val="00966B11"/>
    <w:rsid w:val="00967DBF"/>
    <w:rsid w:val="00972A30"/>
    <w:rsid w:val="0097422B"/>
    <w:rsid w:val="0097507D"/>
    <w:rsid w:val="009805B3"/>
    <w:rsid w:val="0098277C"/>
    <w:rsid w:val="00984A80"/>
    <w:rsid w:val="00985E6E"/>
    <w:rsid w:val="00990361"/>
    <w:rsid w:val="00991251"/>
    <w:rsid w:val="00994EE4"/>
    <w:rsid w:val="009954CC"/>
    <w:rsid w:val="009A2412"/>
    <w:rsid w:val="009A6E85"/>
    <w:rsid w:val="009A7075"/>
    <w:rsid w:val="009A716F"/>
    <w:rsid w:val="009B0721"/>
    <w:rsid w:val="009B118A"/>
    <w:rsid w:val="009B4F7E"/>
    <w:rsid w:val="009B53A9"/>
    <w:rsid w:val="009C26C8"/>
    <w:rsid w:val="009C56F3"/>
    <w:rsid w:val="009D0E93"/>
    <w:rsid w:val="009D31C8"/>
    <w:rsid w:val="009E0C12"/>
    <w:rsid w:val="009E4108"/>
    <w:rsid w:val="009F1CD2"/>
    <w:rsid w:val="009F74FB"/>
    <w:rsid w:val="00A01C8A"/>
    <w:rsid w:val="00A05B75"/>
    <w:rsid w:val="00A127DF"/>
    <w:rsid w:val="00A141EE"/>
    <w:rsid w:val="00A168BC"/>
    <w:rsid w:val="00A175F8"/>
    <w:rsid w:val="00A219F3"/>
    <w:rsid w:val="00A26005"/>
    <w:rsid w:val="00A266AE"/>
    <w:rsid w:val="00A27D64"/>
    <w:rsid w:val="00A31A3D"/>
    <w:rsid w:val="00A43201"/>
    <w:rsid w:val="00A45C31"/>
    <w:rsid w:val="00A57934"/>
    <w:rsid w:val="00A62668"/>
    <w:rsid w:val="00A62AE9"/>
    <w:rsid w:val="00A66C74"/>
    <w:rsid w:val="00A71F9D"/>
    <w:rsid w:val="00A74934"/>
    <w:rsid w:val="00A750A1"/>
    <w:rsid w:val="00A76081"/>
    <w:rsid w:val="00A76A74"/>
    <w:rsid w:val="00A80B34"/>
    <w:rsid w:val="00A879F1"/>
    <w:rsid w:val="00A9307E"/>
    <w:rsid w:val="00AA5905"/>
    <w:rsid w:val="00AA710F"/>
    <w:rsid w:val="00AB107F"/>
    <w:rsid w:val="00AB14BE"/>
    <w:rsid w:val="00AB1903"/>
    <w:rsid w:val="00AB2999"/>
    <w:rsid w:val="00AB544D"/>
    <w:rsid w:val="00AB55DF"/>
    <w:rsid w:val="00AC4052"/>
    <w:rsid w:val="00AC59D0"/>
    <w:rsid w:val="00AC6EF4"/>
    <w:rsid w:val="00AC7BA1"/>
    <w:rsid w:val="00AD066B"/>
    <w:rsid w:val="00AD2C96"/>
    <w:rsid w:val="00AD70E6"/>
    <w:rsid w:val="00AE48D0"/>
    <w:rsid w:val="00AE4F47"/>
    <w:rsid w:val="00AF511A"/>
    <w:rsid w:val="00B0774F"/>
    <w:rsid w:val="00B15303"/>
    <w:rsid w:val="00B22612"/>
    <w:rsid w:val="00B26F92"/>
    <w:rsid w:val="00B31204"/>
    <w:rsid w:val="00B321D5"/>
    <w:rsid w:val="00B32A14"/>
    <w:rsid w:val="00B36914"/>
    <w:rsid w:val="00B407AC"/>
    <w:rsid w:val="00B40D55"/>
    <w:rsid w:val="00B41416"/>
    <w:rsid w:val="00B42A32"/>
    <w:rsid w:val="00B462A0"/>
    <w:rsid w:val="00B50545"/>
    <w:rsid w:val="00B51484"/>
    <w:rsid w:val="00B52C0F"/>
    <w:rsid w:val="00B66408"/>
    <w:rsid w:val="00B71181"/>
    <w:rsid w:val="00B7192F"/>
    <w:rsid w:val="00B74E5D"/>
    <w:rsid w:val="00B77048"/>
    <w:rsid w:val="00B81C7A"/>
    <w:rsid w:val="00B90F11"/>
    <w:rsid w:val="00B96E56"/>
    <w:rsid w:val="00BA206A"/>
    <w:rsid w:val="00BA360F"/>
    <w:rsid w:val="00BA6B49"/>
    <w:rsid w:val="00BB022B"/>
    <w:rsid w:val="00BB1D8C"/>
    <w:rsid w:val="00BB1E70"/>
    <w:rsid w:val="00BB3531"/>
    <w:rsid w:val="00BB4680"/>
    <w:rsid w:val="00BB72C3"/>
    <w:rsid w:val="00BC0D64"/>
    <w:rsid w:val="00BD0072"/>
    <w:rsid w:val="00BD4AE6"/>
    <w:rsid w:val="00BD6C4A"/>
    <w:rsid w:val="00BE0C5D"/>
    <w:rsid w:val="00BE3AC9"/>
    <w:rsid w:val="00BE5432"/>
    <w:rsid w:val="00BE7B39"/>
    <w:rsid w:val="00BF1EAE"/>
    <w:rsid w:val="00C030DD"/>
    <w:rsid w:val="00C04E80"/>
    <w:rsid w:val="00C1058C"/>
    <w:rsid w:val="00C11371"/>
    <w:rsid w:val="00C13F66"/>
    <w:rsid w:val="00C1489C"/>
    <w:rsid w:val="00C157AA"/>
    <w:rsid w:val="00C15987"/>
    <w:rsid w:val="00C162A7"/>
    <w:rsid w:val="00C23AC0"/>
    <w:rsid w:val="00C40FA2"/>
    <w:rsid w:val="00C42152"/>
    <w:rsid w:val="00C42B18"/>
    <w:rsid w:val="00C436C2"/>
    <w:rsid w:val="00C4660F"/>
    <w:rsid w:val="00C541C5"/>
    <w:rsid w:val="00C54A76"/>
    <w:rsid w:val="00C6129D"/>
    <w:rsid w:val="00C62813"/>
    <w:rsid w:val="00C65960"/>
    <w:rsid w:val="00C66E3B"/>
    <w:rsid w:val="00C67EC7"/>
    <w:rsid w:val="00C73699"/>
    <w:rsid w:val="00C76867"/>
    <w:rsid w:val="00C87A12"/>
    <w:rsid w:val="00C92F1D"/>
    <w:rsid w:val="00CA04DE"/>
    <w:rsid w:val="00CA2831"/>
    <w:rsid w:val="00CA3A4F"/>
    <w:rsid w:val="00CA4925"/>
    <w:rsid w:val="00CA709A"/>
    <w:rsid w:val="00CA774A"/>
    <w:rsid w:val="00CB0B42"/>
    <w:rsid w:val="00CB15CF"/>
    <w:rsid w:val="00CB1B83"/>
    <w:rsid w:val="00CB4A86"/>
    <w:rsid w:val="00CB70D0"/>
    <w:rsid w:val="00CB7596"/>
    <w:rsid w:val="00CC02C3"/>
    <w:rsid w:val="00CC0A57"/>
    <w:rsid w:val="00CC0E6B"/>
    <w:rsid w:val="00CC2B7E"/>
    <w:rsid w:val="00CC66F8"/>
    <w:rsid w:val="00CD115D"/>
    <w:rsid w:val="00CE4AD7"/>
    <w:rsid w:val="00CE4B48"/>
    <w:rsid w:val="00CE633C"/>
    <w:rsid w:val="00CE745E"/>
    <w:rsid w:val="00CF039D"/>
    <w:rsid w:val="00CF2668"/>
    <w:rsid w:val="00CF709E"/>
    <w:rsid w:val="00CF7580"/>
    <w:rsid w:val="00D06ACC"/>
    <w:rsid w:val="00D06CA5"/>
    <w:rsid w:val="00D13D41"/>
    <w:rsid w:val="00D178C2"/>
    <w:rsid w:val="00D25585"/>
    <w:rsid w:val="00D30635"/>
    <w:rsid w:val="00D3648D"/>
    <w:rsid w:val="00D37448"/>
    <w:rsid w:val="00D47005"/>
    <w:rsid w:val="00D51494"/>
    <w:rsid w:val="00D5466F"/>
    <w:rsid w:val="00D619B9"/>
    <w:rsid w:val="00D63B8D"/>
    <w:rsid w:val="00D81586"/>
    <w:rsid w:val="00D83CA3"/>
    <w:rsid w:val="00D8427E"/>
    <w:rsid w:val="00D86893"/>
    <w:rsid w:val="00D91209"/>
    <w:rsid w:val="00D930C4"/>
    <w:rsid w:val="00DA0456"/>
    <w:rsid w:val="00DA452F"/>
    <w:rsid w:val="00DA64F8"/>
    <w:rsid w:val="00DA6647"/>
    <w:rsid w:val="00DB451A"/>
    <w:rsid w:val="00DB4B49"/>
    <w:rsid w:val="00DB74A1"/>
    <w:rsid w:val="00DC3C4D"/>
    <w:rsid w:val="00DC497E"/>
    <w:rsid w:val="00DD2D06"/>
    <w:rsid w:val="00DD5B89"/>
    <w:rsid w:val="00DD5E90"/>
    <w:rsid w:val="00DD75BE"/>
    <w:rsid w:val="00DE0C81"/>
    <w:rsid w:val="00DE1353"/>
    <w:rsid w:val="00DE4564"/>
    <w:rsid w:val="00DF07BF"/>
    <w:rsid w:val="00DF19BC"/>
    <w:rsid w:val="00DF6CAF"/>
    <w:rsid w:val="00E002C0"/>
    <w:rsid w:val="00E00427"/>
    <w:rsid w:val="00E0320B"/>
    <w:rsid w:val="00E06C97"/>
    <w:rsid w:val="00E16919"/>
    <w:rsid w:val="00E16A10"/>
    <w:rsid w:val="00E205E6"/>
    <w:rsid w:val="00E232F7"/>
    <w:rsid w:val="00E24F8A"/>
    <w:rsid w:val="00E2760B"/>
    <w:rsid w:val="00E304BA"/>
    <w:rsid w:val="00E31E19"/>
    <w:rsid w:val="00E32A71"/>
    <w:rsid w:val="00E36293"/>
    <w:rsid w:val="00E410FF"/>
    <w:rsid w:val="00E43E84"/>
    <w:rsid w:val="00E52721"/>
    <w:rsid w:val="00E5353C"/>
    <w:rsid w:val="00E55A18"/>
    <w:rsid w:val="00E56240"/>
    <w:rsid w:val="00E56322"/>
    <w:rsid w:val="00E563D5"/>
    <w:rsid w:val="00E57742"/>
    <w:rsid w:val="00E602DF"/>
    <w:rsid w:val="00E61B69"/>
    <w:rsid w:val="00E62428"/>
    <w:rsid w:val="00E643C7"/>
    <w:rsid w:val="00E66CA0"/>
    <w:rsid w:val="00E673BF"/>
    <w:rsid w:val="00E722B7"/>
    <w:rsid w:val="00E73186"/>
    <w:rsid w:val="00E839F2"/>
    <w:rsid w:val="00E866F6"/>
    <w:rsid w:val="00E9341A"/>
    <w:rsid w:val="00EA0B43"/>
    <w:rsid w:val="00EA19D6"/>
    <w:rsid w:val="00EA2A0C"/>
    <w:rsid w:val="00EA40F5"/>
    <w:rsid w:val="00EA4EE4"/>
    <w:rsid w:val="00EA51C7"/>
    <w:rsid w:val="00EA653B"/>
    <w:rsid w:val="00EB6AFE"/>
    <w:rsid w:val="00EC6268"/>
    <w:rsid w:val="00EC7192"/>
    <w:rsid w:val="00ED0CF0"/>
    <w:rsid w:val="00ED3422"/>
    <w:rsid w:val="00ED4501"/>
    <w:rsid w:val="00ED5F08"/>
    <w:rsid w:val="00ED7280"/>
    <w:rsid w:val="00EE15EF"/>
    <w:rsid w:val="00EE3E20"/>
    <w:rsid w:val="00EE4D72"/>
    <w:rsid w:val="00EF7458"/>
    <w:rsid w:val="00F00E80"/>
    <w:rsid w:val="00F0195E"/>
    <w:rsid w:val="00F033EC"/>
    <w:rsid w:val="00F1319C"/>
    <w:rsid w:val="00F175B6"/>
    <w:rsid w:val="00F21CD6"/>
    <w:rsid w:val="00F270AE"/>
    <w:rsid w:val="00F27729"/>
    <w:rsid w:val="00F30EA5"/>
    <w:rsid w:val="00F34062"/>
    <w:rsid w:val="00F36431"/>
    <w:rsid w:val="00F40E12"/>
    <w:rsid w:val="00F42F9C"/>
    <w:rsid w:val="00F4585E"/>
    <w:rsid w:val="00F51B7A"/>
    <w:rsid w:val="00F54C8A"/>
    <w:rsid w:val="00F55B45"/>
    <w:rsid w:val="00F561CC"/>
    <w:rsid w:val="00F600E3"/>
    <w:rsid w:val="00F618F4"/>
    <w:rsid w:val="00F63809"/>
    <w:rsid w:val="00F640B3"/>
    <w:rsid w:val="00F64158"/>
    <w:rsid w:val="00F64578"/>
    <w:rsid w:val="00F74716"/>
    <w:rsid w:val="00F75869"/>
    <w:rsid w:val="00F81129"/>
    <w:rsid w:val="00F90C4F"/>
    <w:rsid w:val="00F91808"/>
    <w:rsid w:val="00F9585A"/>
    <w:rsid w:val="00F97CE5"/>
    <w:rsid w:val="00FA07F3"/>
    <w:rsid w:val="00FA2E4A"/>
    <w:rsid w:val="00FA3B60"/>
    <w:rsid w:val="00FA514D"/>
    <w:rsid w:val="00FA6586"/>
    <w:rsid w:val="00FA69C6"/>
    <w:rsid w:val="00FB2F78"/>
    <w:rsid w:val="00FC2466"/>
    <w:rsid w:val="00FD0BA9"/>
    <w:rsid w:val="00FD1B89"/>
    <w:rsid w:val="00FD5DD8"/>
    <w:rsid w:val="00FD6555"/>
    <w:rsid w:val="00FD77E5"/>
    <w:rsid w:val="00FE2BE0"/>
    <w:rsid w:val="00FE5E8B"/>
    <w:rsid w:val="00FF3158"/>
    <w:rsid w:val="00FF32EF"/>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paragraph" w:customStyle="1" w:styleId="Standard">
    <w:name w:val="Standard"/>
    <w:rsid w:val="00B90F11"/>
    <w:pPr>
      <w:suppressAutoHyphens/>
      <w:autoSpaceDN w:val="0"/>
      <w:spacing w:after="200" w:line="276" w:lineRule="auto"/>
      <w:textAlignment w:val="baseline"/>
    </w:pPr>
    <w:rPr>
      <w:rFonts w:ascii="Calibri" w:eastAsia="Arial Unicode MS" w:hAnsi="Calibri" w:cs="Calibri"/>
      <w:kern w:val="3"/>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ricato.gob.mx/svc/link/ayuntamiento_sevac_2021_4t_relacion-de-los-bienes-que-componen-su-patrimonio-conforme-a-los-formatos-que-apruebe-el%20conac_300322191648.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5B604-C742-4C94-B271-9613396A4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2348</Words>
  <Characters>12920</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30</cp:revision>
  <cp:lastPrinted>2023-02-01T03:00:00Z</cp:lastPrinted>
  <dcterms:created xsi:type="dcterms:W3CDTF">2023-01-13T17:12:00Z</dcterms:created>
  <dcterms:modified xsi:type="dcterms:W3CDTF">2023-02-01T03:00:00Z</dcterms:modified>
</cp:coreProperties>
</file>